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312B3" w14:textId="6D76D29E" w:rsidR="00E67A45" w:rsidRPr="000C05AB"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AAEF</w:t>
      </w:r>
    </w:p>
    <w:p w14:paraId="1872BE3F" w14:textId="6A93D79A" w:rsidR="004040E1"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COMISIÓN DE TRIBUTOS LOCALES</w:t>
      </w:r>
    </w:p>
    <w:p w14:paraId="4CEFAA0C" w14:textId="7009C9AD" w:rsidR="000C05AB" w:rsidRPr="000C05AB" w:rsidRDefault="000C05AB" w:rsidP="000C05AB">
      <w:pPr>
        <w:snapToGrid w:val="0"/>
        <w:spacing w:after="240" w:line="360" w:lineRule="auto"/>
        <w:jc w:val="center"/>
        <w:rPr>
          <w:rFonts w:ascii="Arial" w:hAnsi="Arial" w:cs="Arial"/>
          <w:b/>
          <w:bCs/>
          <w:lang w:val="es-ES_tradnl"/>
        </w:rPr>
      </w:pPr>
      <w:r>
        <w:rPr>
          <w:rFonts w:ascii="Arial" w:hAnsi="Arial" w:cs="Arial"/>
          <w:b/>
          <w:bCs/>
          <w:lang w:val="es-ES_tradnl"/>
        </w:rPr>
        <w:t>TEMARIO</w:t>
      </w:r>
    </w:p>
    <w:p w14:paraId="70B7C657" w14:textId="29E44527" w:rsidR="004040E1" w:rsidRPr="000C05AB"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 xml:space="preserve">REUNIÓN </w:t>
      </w:r>
      <w:r w:rsidR="00341ED4">
        <w:rPr>
          <w:rFonts w:ascii="Arial" w:hAnsi="Arial" w:cs="Arial"/>
          <w:b/>
          <w:bCs/>
          <w:lang w:val="es-ES_tradnl"/>
        </w:rPr>
        <w:t>–</w:t>
      </w:r>
      <w:r w:rsidRPr="000C05AB">
        <w:rPr>
          <w:rFonts w:ascii="Arial" w:hAnsi="Arial" w:cs="Arial"/>
          <w:b/>
          <w:bCs/>
          <w:lang w:val="es-ES_tradnl"/>
        </w:rPr>
        <w:t xml:space="preserve"> </w:t>
      </w:r>
      <w:r w:rsidR="00663E80">
        <w:rPr>
          <w:rFonts w:ascii="Arial" w:hAnsi="Arial" w:cs="Arial"/>
          <w:b/>
          <w:bCs/>
          <w:lang w:val="es-ES_tradnl"/>
        </w:rPr>
        <w:t>JUNIO</w:t>
      </w:r>
      <w:r w:rsidR="00D2196B">
        <w:rPr>
          <w:rFonts w:ascii="Arial" w:hAnsi="Arial" w:cs="Arial"/>
          <w:b/>
          <w:bCs/>
          <w:lang w:val="es-ES_tradnl"/>
        </w:rPr>
        <w:t xml:space="preserve"> 2024</w:t>
      </w:r>
    </w:p>
    <w:p w14:paraId="0D6DAC9B" w14:textId="77777777" w:rsidR="000C05AB" w:rsidRDefault="000C05AB" w:rsidP="000C05AB">
      <w:pPr>
        <w:snapToGrid w:val="0"/>
        <w:spacing w:after="240" w:line="360" w:lineRule="auto"/>
        <w:jc w:val="both"/>
        <w:rPr>
          <w:rFonts w:ascii="Arial" w:hAnsi="Arial" w:cs="Arial"/>
          <w:sz w:val="20"/>
          <w:szCs w:val="20"/>
          <w:lang w:val="es-ES_tradnl"/>
        </w:rPr>
      </w:pPr>
    </w:p>
    <w:p w14:paraId="26EACE40" w14:textId="0E5CBD28" w:rsidR="000C05AB" w:rsidRPr="000C05AB" w:rsidRDefault="000C05AB" w:rsidP="000C05AB">
      <w:pPr>
        <w:snapToGrid w:val="0"/>
        <w:spacing w:after="240" w:line="360" w:lineRule="auto"/>
        <w:jc w:val="both"/>
        <w:rPr>
          <w:rFonts w:ascii="Arial" w:hAnsi="Arial" w:cs="Arial"/>
          <w:b/>
          <w:bCs/>
          <w:sz w:val="20"/>
          <w:szCs w:val="20"/>
          <w:u w:val="single"/>
          <w:lang w:val="es-ES_tradnl"/>
        </w:rPr>
      </w:pPr>
      <w:r w:rsidRPr="000C05AB">
        <w:rPr>
          <w:rFonts w:ascii="Arial" w:hAnsi="Arial" w:cs="Arial"/>
          <w:b/>
          <w:bCs/>
          <w:sz w:val="20"/>
          <w:szCs w:val="20"/>
          <w:u w:val="single"/>
          <w:lang w:val="es-ES_tradnl"/>
        </w:rPr>
        <w:t>JURISPRUDENCIA</w:t>
      </w:r>
    </w:p>
    <w:p w14:paraId="62934643" w14:textId="56CC14E5" w:rsidR="000C05AB" w:rsidRPr="00444EC1" w:rsidRDefault="000C05AB" w:rsidP="00714C2B">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sidRPr="00444EC1">
        <w:rPr>
          <w:rFonts w:ascii="Arial" w:hAnsi="Arial" w:cs="Arial"/>
          <w:b/>
          <w:bCs/>
          <w:sz w:val="20"/>
          <w:szCs w:val="20"/>
          <w:lang w:val="es-ES_tradnl"/>
        </w:rPr>
        <w:t xml:space="preserve">Corte Suprema de Justicia de la Nación. </w:t>
      </w:r>
      <w:r w:rsidR="000D0409" w:rsidRPr="00444EC1">
        <w:rPr>
          <w:rFonts w:ascii="Arial" w:hAnsi="Arial" w:cs="Arial"/>
          <w:b/>
          <w:bCs/>
          <w:sz w:val="20"/>
          <w:szCs w:val="20"/>
          <w:lang w:val="es-ES_tradnl"/>
        </w:rPr>
        <w:t>“</w:t>
      </w:r>
      <w:proofErr w:type="spellStart"/>
      <w:r w:rsidR="00E44BBE" w:rsidRPr="00444EC1">
        <w:rPr>
          <w:rFonts w:ascii="Arial" w:hAnsi="Arial" w:cs="Arial"/>
          <w:b/>
          <w:bCs/>
          <w:i/>
          <w:iCs/>
          <w:sz w:val="20"/>
          <w:szCs w:val="20"/>
          <w:lang w:val="es-ES_tradnl"/>
        </w:rPr>
        <w:t>First</w:t>
      </w:r>
      <w:proofErr w:type="spellEnd"/>
      <w:r w:rsidR="00E44BBE" w:rsidRPr="00444EC1">
        <w:rPr>
          <w:rFonts w:ascii="Arial" w:hAnsi="Arial" w:cs="Arial"/>
          <w:b/>
          <w:bCs/>
          <w:i/>
          <w:iCs/>
          <w:sz w:val="20"/>
          <w:szCs w:val="20"/>
          <w:lang w:val="es-ES_tradnl"/>
        </w:rPr>
        <w:t xml:space="preserve"> Data Cono Sur S.R.L. c/ Estado de la</w:t>
      </w:r>
      <w:r w:rsidR="00444EC1" w:rsidRPr="00444EC1">
        <w:rPr>
          <w:rFonts w:ascii="Arial" w:hAnsi="Arial" w:cs="Arial"/>
          <w:b/>
          <w:bCs/>
          <w:i/>
          <w:iCs/>
          <w:sz w:val="20"/>
          <w:szCs w:val="20"/>
          <w:lang w:val="es-ES_tradnl"/>
        </w:rPr>
        <w:t xml:space="preserve"> </w:t>
      </w:r>
      <w:r w:rsidR="00E44BBE" w:rsidRPr="00444EC1">
        <w:rPr>
          <w:rFonts w:ascii="Arial" w:hAnsi="Arial" w:cs="Arial"/>
          <w:b/>
          <w:bCs/>
          <w:i/>
          <w:iCs/>
          <w:sz w:val="20"/>
          <w:szCs w:val="20"/>
          <w:lang w:val="es-ES_tradnl"/>
        </w:rPr>
        <w:t>Provincia de Corrientes (Dirección General de</w:t>
      </w:r>
      <w:r w:rsidR="00444EC1" w:rsidRPr="00444EC1">
        <w:rPr>
          <w:rFonts w:ascii="Arial" w:hAnsi="Arial" w:cs="Arial"/>
          <w:b/>
          <w:bCs/>
          <w:i/>
          <w:iCs/>
          <w:sz w:val="20"/>
          <w:szCs w:val="20"/>
          <w:lang w:val="es-ES_tradnl"/>
        </w:rPr>
        <w:t xml:space="preserve"> </w:t>
      </w:r>
      <w:r w:rsidR="00E44BBE" w:rsidRPr="00444EC1">
        <w:rPr>
          <w:rFonts w:ascii="Arial" w:hAnsi="Arial" w:cs="Arial"/>
          <w:b/>
          <w:bCs/>
          <w:i/>
          <w:iCs/>
          <w:sz w:val="20"/>
          <w:szCs w:val="20"/>
          <w:lang w:val="es-ES_tradnl"/>
        </w:rPr>
        <w:t>Rentas) s/ recurso facultativo (acción de</w:t>
      </w:r>
      <w:r w:rsidR="00444EC1" w:rsidRPr="00444EC1">
        <w:rPr>
          <w:rFonts w:ascii="Arial" w:hAnsi="Arial" w:cs="Arial"/>
          <w:b/>
          <w:bCs/>
          <w:i/>
          <w:iCs/>
          <w:sz w:val="20"/>
          <w:szCs w:val="20"/>
          <w:lang w:val="es-ES_tradnl"/>
        </w:rPr>
        <w:t xml:space="preserve"> </w:t>
      </w:r>
      <w:r w:rsidR="00E44BBE" w:rsidRPr="00444EC1">
        <w:rPr>
          <w:rFonts w:ascii="Arial" w:hAnsi="Arial" w:cs="Arial"/>
          <w:b/>
          <w:bCs/>
          <w:i/>
          <w:iCs/>
          <w:sz w:val="20"/>
          <w:szCs w:val="20"/>
          <w:lang w:val="es-ES_tradnl"/>
        </w:rPr>
        <w:t>nulidad)</w:t>
      </w:r>
      <w:r w:rsidR="00444EC1">
        <w:rPr>
          <w:rFonts w:ascii="Arial" w:hAnsi="Arial" w:cs="Arial"/>
          <w:b/>
          <w:bCs/>
          <w:i/>
          <w:iCs/>
          <w:sz w:val="20"/>
          <w:szCs w:val="20"/>
          <w:lang w:val="es-ES_tradnl"/>
        </w:rPr>
        <w:t xml:space="preserve"> </w:t>
      </w:r>
      <w:r w:rsidR="00020C2F">
        <w:rPr>
          <w:rFonts w:ascii="Arial" w:hAnsi="Arial" w:cs="Arial"/>
          <w:b/>
          <w:bCs/>
          <w:i/>
          <w:iCs/>
          <w:sz w:val="20"/>
          <w:szCs w:val="20"/>
          <w:lang w:val="es-ES_tradnl"/>
        </w:rPr>
        <w:t>(28</w:t>
      </w:r>
      <w:r w:rsidRPr="00444EC1">
        <w:rPr>
          <w:rFonts w:ascii="Arial" w:hAnsi="Arial" w:cs="Arial"/>
          <w:b/>
          <w:bCs/>
          <w:i/>
          <w:iCs/>
          <w:sz w:val="20"/>
          <w:szCs w:val="20"/>
          <w:lang w:val="es-ES_tradnl"/>
        </w:rPr>
        <w:t>/0</w:t>
      </w:r>
      <w:r w:rsidR="00CD62C2" w:rsidRPr="00444EC1">
        <w:rPr>
          <w:rFonts w:ascii="Arial" w:hAnsi="Arial" w:cs="Arial"/>
          <w:b/>
          <w:bCs/>
          <w:i/>
          <w:iCs/>
          <w:sz w:val="20"/>
          <w:szCs w:val="20"/>
          <w:lang w:val="es-ES_tradnl"/>
        </w:rPr>
        <w:t>3</w:t>
      </w:r>
      <w:r w:rsidRPr="00444EC1">
        <w:rPr>
          <w:rFonts w:ascii="Arial" w:hAnsi="Arial" w:cs="Arial"/>
          <w:b/>
          <w:bCs/>
          <w:i/>
          <w:iCs/>
          <w:sz w:val="20"/>
          <w:szCs w:val="20"/>
          <w:lang w:val="es-ES_tradnl"/>
        </w:rPr>
        <w:t>/202</w:t>
      </w:r>
      <w:r w:rsidR="002660B5">
        <w:rPr>
          <w:rFonts w:ascii="Arial" w:hAnsi="Arial" w:cs="Arial"/>
          <w:b/>
          <w:bCs/>
          <w:i/>
          <w:iCs/>
          <w:sz w:val="20"/>
          <w:szCs w:val="20"/>
          <w:lang w:val="es-ES_tradnl"/>
        </w:rPr>
        <w:t>3</w:t>
      </w:r>
      <w:r w:rsidRPr="00444EC1">
        <w:rPr>
          <w:rFonts w:ascii="Arial" w:hAnsi="Arial" w:cs="Arial"/>
          <w:b/>
          <w:bCs/>
          <w:i/>
          <w:iCs/>
          <w:sz w:val="20"/>
          <w:szCs w:val="20"/>
          <w:lang w:val="es-ES_tradnl"/>
        </w:rPr>
        <w:t>)”</w:t>
      </w:r>
      <w:r w:rsidRPr="00444EC1">
        <w:rPr>
          <w:rFonts w:ascii="Arial" w:hAnsi="Arial" w:cs="Arial"/>
          <w:b/>
          <w:bCs/>
          <w:sz w:val="20"/>
          <w:szCs w:val="20"/>
          <w:lang w:val="es-ES_tradnl"/>
        </w:rPr>
        <w:t xml:space="preserve">. </w:t>
      </w:r>
      <w:r w:rsidR="00341ED4" w:rsidRPr="00444EC1">
        <w:rPr>
          <w:rFonts w:ascii="Arial" w:hAnsi="Arial" w:cs="Arial"/>
          <w:b/>
          <w:bCs/>
          <w:sz w:val="20"/>
          <w:szCs w:val="20"/>
          <w:lang w:val="es-ES_tradnl"/>
        </w:rPr>
        <w:t xml:space="preserve">Impuesto </w:t>
      </w:r>
      <w:r w:rsidR="00CD62C2" w:rsidRPr="00444EC1">
        <w:rPr>
          <w:rFonts w:ascii="Arial" w:hAnsi="Arial" w:cs="Arial"/>
          <w:b/>
          <w:bCs/>
          <w:sz w:val="20"/>
          <w:szCs w:val="20"/>
          <w:lang w:val="es-ES_tradnl"/>
        </w:rPr>
        <w:t>sobre los Ingresos Brutos</w:t>
      </w:r>
      <w:r w:rsidR="004E553B" w:rsidRPr="00444EC1">
        <w:rPr>
          <w:rFonts w:ascii="Arial" w:hAnsi="Arial" w:cs="Arial"/>
          <w:b/>
          <w:bCs/>
          <w:sz w:val="20"/>
          <w:szCs w:val="20"/>
          <w:lang w:val="es-ES_tradnl"/>
        </w:rPr>
        <w:t>.</w:t>
      </w:r>
      <w:r w:rsidR="009E1170">
        <w:rPr>
          <w:rFonts w:ascii="Arial" w:hAnsi="Arial" w:cs="Arial"/>
          <w:b/>
          <w:bCs/>
          <w:sz w:val="20"/>
          <w:szCs w:val="20"/>
          <w:lang w:val="es-ES_tradnl"/>
        </w:rPr>
        <w:t xml:space="preserve"> </w:t>
      </w:r>
      <w:r w:rsidR="00200FA1">
        <w:rPr>
          <w:rFonts w:ascii="Arial" w:hAnsi="Arial" w:cs="Arial"/>
          <w:b/>
          <w:bCs/>
          <w:sz w:val="20"/>
          <w:szCs w:val="20"/>
          <w:lang w:val="es-ES_tradnl"/>
        </w:rPr>
        <w:t xml:space="preserve">Prescripción. </w:t>
      </w:r>
      <w:r w:rsidR="009E1170">
        <w:rPr>
          <w:rFonts w:ascii="Arial" w:hAnsi="Arial" w:cs="Arial"/>
          <w:b/>
          <w:bCs/>
          <w:sz w:val="20"/>
          <w:szCs w:val="20"/>
          <w:lang w:val="es-ES_tradnl"/>
        </w:rPr>
        <w:t>Convenio Multilateral</w:t>
      </w:r>
    </w:p>
    <w:p w14:paraId="128DC4AD" w14:textId="196B3915" w:rsidR="00604CDB" w:rsidRDefault="00200FA1" w:rsidP="008A1489">
      <w:pPr>
        <w:pStyle w:val="ListParagraph"/>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La CSJN hizo lug</w:t>
      </w:r>
      <w:r w:rsidR="00E233A4">
        <w:rPr>
          <w:rFonts w:ascii="Arial" w:hAnsi="Arial" w:cs="Arial"/>
          <w:sz w:val="20"/>
          <w:szCs w:val="20"/>
          <w:lang w:val="es-ES_tradnl"/>
        </w:rPr>
        <w:t xml:space="preserve">ar a la queja </w:t>
      </w:r>
      <w:r w:rsidR="00AB32E6">
        <w:rPr>
          <w:rFonts w:ascii="Arial" w:hAnsi="Arial" w:cs="Arial"/>
          <w:sz w:val="20"/>
          <w:szCs w:val="20"/>
          <w:lang w:val="es-ES_tradnl"/>
        </w:rPr>
        <w:t>dec</w:t>
      </w:r>
      <w:r w:rsidR="00515075">
        <w:rPr>
          <w:rFonts w:ascii="Arial" w:hAnsi="Arial" w:cs="Arial"/>
          <w:sz w:val="20"/>
          <w:szCs w:val="20"/>
          <w:lang w:val="es-ES_tradnl"/>
        </w:rPr>
        <w:t>l</w:t>
      </w:r>
      <w:r w:rsidR="00AB32E6">
        <w:rPr>
          <w:rFonts w:ascii="Arial" w:hAnsi="Arial" w:cs="Arial"/>
          <w:sz w:val="20"/>
          <w:szCs w:val="20"/>
          <w:lang w:val="es-ES_tradnl"/>
        </w:rPr>
        <w:t xml:space="preserve">aró procedente el recurso extraordinario interpuesto por la actora y declaró </w:t>
      </w:r>
      <w:proofErr w:type="gramStart"/>
      <w:r w:rsidR="00AB32E6">
        <w:rPr>
          <w:rFonts w:ascii="Arial" w:hAnsi="Arial" w:cs="Arial"/>
          <w:sz w:val="20"/>
          <w:szCs w:val="20"/>
          <w:lang w:val="es-ES_tradnl"/>
        </w:rPr>
        <w:t>en</w:t>
      </w:r>
      <w:r w:rsidR="00604CDB">
        <w:rPr>
          <w:rFonts w:ascii="Arial" w:hAnsi="Arial" w:cs="Arial"/>
          <w:sz w:val="20"/>
          <w:szCs w:val="20"/>
          <w:lang w:val="es-ES_tradnl"/>
        </w:rPr>
        <w:t xml:space="preserve"> relación a</w:t>
      </w:r>
      <w:proofErr w:type="gramEnd"/>
      <w:r w:rsidR="00604CDB">
        <w:rPr>
          <w:rFonts w:ascii="Arial" w:hAnsi="Arial" w:cs="Arial"/>
          <w:sz w:val="20"/>
          <w:szCs w:val="20"/>
          <w:lang w:val="es-ES_tradnl"/>
        </w:rPr>
        <w:t xml:space="preserve"> la prescri</w:t>
      </w:r>
      <w:r w:rsidR="00515075">
        <w:rPr>
          <w:rFonts w:ascii="Arial" w:hAnsi="Arial" w:cs="Arial"/>
          <w:sz w:val="20"/>
          <w:szCs w:val="20"/>
          <w:lang w:val="es-ES_tradnl"/>
        </w:rPr>
        <w:t>pci</w:t>
      </w:r>
      <w:r w:rsidR="00604CDB">
        <w:rPr>
          <w:rFonts w:ascii="Arial" w:hAnsi="Arial" w:cs="Arial"/>
          <w:sz w:val="20"/>
          <w:szCs w:val="20"/>
          <w:lang w:val="es-ES_tradnl"/>
        </w:rPr>
        <w:t>ón la doctrina de la causa “Volkswagen”.</w:t>
      </w:r>
    </w:p>
    <w:p w14:paraId="034B881C" w14:textId="1F4B5BC6" w:rsidR="008208B8" w:rsidRDefault="00515075" w:rsidP="008A1489">
      <w:pPr>
        <w:pStyle w:val="ListParagraph"/>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En adición, entendió</w:t>
      </w:r>
      <w:r w:rsidR="00C77852">
        <w:rPr>
          <w:rFonts w:ascii="Arial" w:hAnsi="Arial" w:cs="Arial"/>
          <w:sz w:val="20"/>
          <w:szCs w:val="20"/>
          <w:lang w:val="es-ES_tradnl"/>
        </w:rPr>
        <w:t xml:space="preserve"> que la negativa </w:t>
      </w:r>
      <w:r w:rsidR="007D507E">
        <w:rPr>
          <w:rFonts w:ascii="Arial" w:hAnsi="Arial" w:cs="Arial"/>
          <w:sz w:val="20"/>
          <w:szCs w:val="20"/>
          <w:lang w:val="es-ES_tradnl"/>
        </w:rPr>
        <w:t xml:space="preserve">a considerar el argumento </w:t>
      </w:r>
      <w:r w:rsidR="00711E76">
        <w:rPr>
          <w:rFonts w:ascii="Arial" w:hAnsi="Arial" w:cs="Arial"/>
          <w:sz w:val="20"/>
          <w:szCs w:val="20"/>
          <w:lang w:val="es-ES_tradnl"/>
        </w:rPr>
        <w:t>relativo</w:t>
      </w:r>
      <w:r w:rsidR="007D507E">
        <w:rPr>
          <w:rFonts w:ascii="Arial" w:hAnsi="Arial" w:cs="Arial"/>
          <w:sz w:val="20"/>
          <w:szCs w:val="20"/>
          <w:lang w:val="es-ES_tradnl"/>
        </w:rPr>
        <w:t xml:space="preserve"> a la aplicación </w:t>
      </w:r>
      <w:r w:rsidR="008208B8">
        <w:rPr>
          <w:rFonts w:ascii="Arial" w:hAnsi="Arial" w:cs="Arial"/>
          <w:sz w:val="20"/>
          <w:szCs w:val="20"/>
          <w:lang w:val="es-ES_tradnl"/>
        </w:rPr>
        <w:t>del del Protocolo Adicional tornaba a la sentencia como arbitraria.</w:t>
      </w:r>
    </w:p>
    <w:p w14:paraId="3CE7E5A9" w14:textId="77777777" w:rsidR="002660B5" w:rsidRDefault="002660B5" w:rsidP="008A1489">
      <w:pPr>
        <w:pStyle w:val="ListParagraph"/>
        <w:snapToGrid w:val="0"/>
        <w:spacing w:after="240" w:line="360" w:lineRule="auto"/>
        <w:ind w:left="360"/>
        <w:jc w:val="both"/>
        <w:rPr>
          <w:rFonts w:ascii="Arial" w:hAnsi="Arial" w:cs="Arial"/>
          <w:sz w:val="20"/>
          <w:szCs w:val="20"/>
          <w:lang w:val="es-ES_tradnl"/>
        </w:rPr>
      </w:pPr>
    </w:p>
    <w:p w14:paraId="1B11085D" w14:textId="4F257FA9" w:rsidR="002071FA" w:rsidRPr="00444EC1" w:rsidRDefault="00315581" w:rsidP="00A604AA">
      <w:pPr>
        <w:pStyle w:val="ListParagraph"/>
        <w:numPr>
          <w:ilvl w:val="1"/>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Superior Tribunal de Justicia de Corrientes</w:t>
      </w:r>
      <w:r w:rsidR="002071FA" w:rsidRPr="00444EC1">
        <w:rPr>
          <w:rFonts w:ascii="Arial" w:hAnsi="Arial" w:cs="Arial"/>
          <w:b/>
          <w:bCs/>
          <w:sz w:val="20"/>
          <w:szCs w:val="20"/>
          <w:lang w:val="es-ES_tradnl"/>
        </w:rPr>
        <w:t>. “</w:t>
      </w:r>
      <w:proofErr w:type="spellStart"/>
      <w:r w:rsidR="002071FA" w:rsidRPr="00444EC1">
        <w:rPr>
          <w:rFonts w:ascii="Arial" w:hAnsi="Arial" w:cs="Arial"/>
          <w:b/>
          <w:bCs/>
          <w:i/>
          <w:iCs/>
          <w:sz w:val="20"/>
          <w:szCs w:val="20"/>
          <w:lang w:val="es-ES_tradnl"/>
        </w:rPr>
        <w:t>First</w:t>
      </w:r>
      <w:proofErr w:type="spellEnd"/>
      <w:r w:rsidR="002071FA" w:rsidRPr="00444EC1">
        <w:rPr>
          <w:rFonts w:ascii="Arial" w:hAnsi="Arial" w:cs="Arial"/>
          <w:b/>
          <w:bCs/>
          <w:i/>
          <w:iCs/>
          <w:sz w:val="20"/>
          <w:szCs w:val="20"/>
          <w:lang w:val="es-ES_tradnl"/>
        </w:rPr>
        <w:t xml:space="preserve"> Data Cono Sur S.R.L. c/ Estado de la Provincia de Corrientes (Dirección General de Rentas) s/ recurso facultativo (acción de nulidad)</w:t>
      </w:r>
      <w:r w:rsidR="002071FA">
        <w:rPr>
          <w:rFonts w:ascii="Arial" w:hAnsi="Arial" w:cs="Arial"/>
          <w:b/>
          <w:bCs/>
          <w:i/>
          <w:iCs/>
          <w:sz w:val="20"/>
          <w:szCs w:val="20"/>
          <w:lang w:val="es-ES_tradnl"/>
        </w:rPr>
        <w:t xml:space="preserve"> (</w:t>
      </w:r>
      <w:r w:rsidR="007C02D0">
        <w:rPr>
          <w:rFonts w:ascii="Arial" w:hAnsi="Arial" w:cs="Arial"/>
          <w:b/>
          <w:bCs/>
          <w:i/>
          <w:iCs/>
          <w:sz w:val="20"/>
          <w:szCs w:val="20"/>
          <w:lang w:val="es-ES_tradnl"/>
        </w:rPr>
        <w:t>12</w:t>
      </w:r>
      <w:r w:rsidR="002071FA" w:rsidRPr="00444EC1">
        <w:rPr>
          <w:rFonts w:ascii="Arial" w:hAnsi="Arial" w:cs="Arial"/>
          <w:b/>
          <w:bCs/>
          <w:i/>
          <w:iCs/>
          <w:sz w:val="20"/>
          <w:szCs w:val="20"/>
          <w:lang w:val="es-ES_tradnl"/>
        </w:rPr>
        <w:t>/03/202</w:t>
      </w:r>
      <w:r w:rsidR="007C02D0">
        <w:rPr>
          <w:rFonts w:ascii="Arial" w:hAnsi="Arial" w:cs="Arial"/>
          <w:b/>
          <w:bCs/>
          <w:i/>
          <w:iCs/>
          <w:sz w:val="20"/>
          <w:szCs w:val="20"/>
          <w:lang w:val="es-ES_tradnl"/>
        </w:rPr>
        <w:t>4</w:t>
      </w:r>
      <w:r w:rsidR="002071FA" w:rsidRPr="00444EC1">
        <w:rPr>
          <w:rFonts w:ascii="Arial" w:hAnsi="Arial" w:cs="Arial"/>
          <w:b/>
          <w:bCs/>
          <w:i/>
          <w:iCs/>
          <w:sz w:val="20"/>
          <w:szCs w:val="20"/>
          <w:lang w:val="es-ES_tradnl"/>
        </w:rPr>
        <w:t>)”</w:t>
      </w:r>
      <w:r w:rsidR="002071FA" w:rsidRPr="00444EC1">
        <w:rPr>
          <w:rFonts w:ascii="Arial" w:hAnsi="Arial" w:cs="Arial"/>
          <w:b/>
          <w:bCs/>
          <w:sz w:val="20"/>
          <w:szCs w:val="20"/>
          <w:lang w:val="es-ES_tradnl"/>
        </w:rPr>
        <w:t>. Impuesto sobre los Ingresos Brutos.</w:t>
      </w:r>
      <w:r w:rsidR="002071FA">
        <w:rPr>
          <w:rFonts w:ascii="Arial" w:hAnsi="Arial" w:cs="Arial"/>
          <w:b/>
          <w:bCs/>
          <w:sz w:val="20"/>
          <w:szCs w:val="20"/>
          <w:lang w:val="es-ES_tradnl"/>
        </w:rPr>
        <w:t xml:space="preserve"> Prescripción. Convenio Multilateral</w:t>
      </w:r>
    </w:p>
    <w:p w14:paraId="59A94998" w14:textId="1A2EEEC6" w:rsidR="002660B5" w:rsidRDefault="00136168" w:rsidP="008A1489">
      <w:pPr>
        <w:pStyle w:val="ListParagraph"/>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En virtud del reenvío ordenado por la CSJN el STJ resolvió: (i) en relación a la prescripción la aplicación del Código Civil; </w:t>
      </w:r>
      <w:r w:rsidR="00697DA4">
        <w:rPr>
          <w:rFonts w:ascii="Arial" w:hAnsi="Arial" w:cs="Arial"/>
          <w:sz w:val="20"/>
          <w:szCs w:val="20"/>
          <w:lang w:val="es-ES_tradnl"/>
        </w:rPr>
        <w:t>Corresponde computar el plazo prescriptivo desde cada anticipo mensual</w:t>
      </w:r>
      <w:r w:rsidR="00DC283B">
        <w:rPr>
          <w:rFonts w:ascii="Arial" w:hAnsi="Arial" w:cs="Arial"/>
          <w:sz w:val="20"/>
          <w:szCs w:val="20"/>
          <w:lang w:val="es-ES_tradnl"/>
        </w:rPr>
        <w:t>; (</w:t>
      </w:r>
      <w:proofErr w:type="spellStart"/>
      <w:r w:rsidR="00DC283B">
        <w:rPr>
          <w:rFonts w:ascii="Arial" w:hAnsi="Arial" w:cs="Arial"/>
          <w:sz w:val="20"/>
          <w:szCs w:val="20"/>
          <w:lang w:val="es-ES_tradnl"/>
        </w:rPr>
        <w:t>ii</w:t>
      </w:r>
      <w:proofErr w:type="spellEnd"/>
      <w:r w:rsidR="00DC283B">
        <w:rPr>
          <w:rFonts w:ascii="Arial" w:hAnsi="Arial" w:cs="Arial"/>
          <w:sz w:val="20"/>
          <w:szCs w:val="20"/>
          <w:lang w:val="es-ES_tradnl"/>
        </w:rPr>
        <w:t xml:space="preserve">) respecto de la aplicación del Protocolo Adicional </w:t>
      </w:r>
      <w:r w:rsidR="001C1E68">
        <w:rPr>
          <w:rFonts w:ascii="Arial" w:hAnsi="Arial" w:cs="Arial"/>
          <w:sz w:val="20"/>
          <w:szCs w:val="20"/>
          <w:lang w:val="es-ES_tradnl"/>
        </w:rPr>
        <w:t xml:space="preserve">la sistemática </w:t>
      </w:r>
      <w:r w:rsidR="00694AAF">
        <w:rPr>
          <w:rFonts w:ascii="Arial" w:hAnsi="Arial" w:cs="Arial"/>
          <w:sz w:val="20"/>
          <w:szCs w:val="20"/>
          <w:lang w:val="es-ES_tradnl"/>
        </w:rPr>
        <w:t xml:space="preserve">negación de Fisco a notificar a las restantes jurisdicciones </w:t>
      </w:r>
      <w:r w:rsidR="008E1B19">
        <w:rPr>
          <w:rFonts w:ascii="Arial" w:hAnsi="Arial" w:cs="Arial"/>
          <w:sz w:val="20"/>
          <w:szCs w:val="20"/>
          <w:lang w:val="es-ES_tradnl"/>
        </w:rPr>
        <w:t xml:space="preserve">no sólo determinó la nulidad del acto </w:t>
      </w:r>
      <w:proofErr w:type="gramStart"/>
      <w:r w:rsidR="008E1B19">
        <w:rPr>
          <w:rFonts w:ascii="Arial" w:hAnsi="Arial" w:cs="Arial"/>
          <w:sz w:val="20"/>
          <w:szCs w:val="20"/>
          <w:lang w:val="es-ES_tradnl"/>
        </w:rPr>
        <w:t>determinativo</w:t>
      </w:r>
      <w:proofErr w:type="gramEnd"/>
      <w:r w:rsidR="008E1B19">
        <w:rPr>
          <w:rFonts w:ascii="Arial" w:hAnsi="Arial" w:cs="Arial"/>
          <w:sz w:val="20"/>
          <w:szCs w:val="20"/>
          <w:lang w:val="es-ES_tradnl"/>
        </w:rPr>
        <w:t xml:space="preserve"> sino que resulto gravosa para la actora en atención a la aplicación del Protocolo Adicional.</w:t>
      </w:r>
    </w:p>
    <w:p w14:paraId="405A3B55" w14:textId="77777777" w:rsidR="001C4A09" w:rsidRDefault="001C4A09" w:rsidP="000C05AB">
      <w:pPr>
        <w:pStyle w:val="ListParagraph"/>
        <w:snapToGrid w:val="0"/>
        <w:spacing w:after="240" w:line="360" w:lineRule="auto"/>
        <w:ind w:left="360"/>
        <w:contextualSpacing w:val="0"/>
        <w:jc w:val="both"/>
        <w:rPr>
          <w:rFonts w:ascii="Arial" w:hAnsi="Arial" w:cs="Arial"/>
          <w:sz w:val="20"/>
          <w:szCs w:val="20"/>
          <w:lang w:val="es-ES_tradnl"/>
        </w:rPr>
      </w:pPr>
    </w:p>
    <w:p w14:paraId="56981840" w14:textId="16345DFC" w:rsidR="00E825E8" w:rsidRPr="00444EC1" w:rsidRDefault="00E825E8" w:rsidP="00E825E8">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sidRPr="00444EC1">
        <w:rPr>
          <w:rFonts w:ascii="Arial" w:hAnsi="Arial" w:cs="Arial"/>
          <w:b/>
          <w:bCs/>
          <w:sz w:val="20"/>
          <w:szCs w:val="20"/>
          <w:lang w:val="es-ES_tradnl"/>
        </w:rPr>
        <w:t>Corte Suprema de Justicia de la Nación. “</w:t>
      </w:r>
      <w:r w:rsidR="00D7116F">
        <w:rPr>
          <w:rFonts w:ascii="Arial" w:hAnsi="Arial" w:cs="Arial"/>
          <w:b/>
          <w:bCs/>
          <w:i/>
          <w:iCs/>
          <w:sz w:val="20"/>
          <w:szCs w:val="20"/>
          <w:lang w:val="es-ES_tradnl"/>
        </w:rPr>
        <w:t>L</w:t>
      </w:r>
      <w:r w:rsidR="00711E76">
        <w:rPr>
          <w:rFonts w:ascii="Arial" w:hAnsi="Arial" w:cs="Arial"/>
          <w:b/>
          <w:bCs/>
          <w:i/>
          <w:iCs/>
          <w:sz w:val="20"/>
          <w:szCs w:val="20"/>
          <w:lang w:val="es-ES_tradnl"/>
        </w:rPr>
        <w:t xml:space="preserve">aboratorios </w:t>
      </w:r>
      <w:proofErr w:type="spellStart"/>
      <w:r w:rsidR="00D7116F">
        <w:rPr>
          <w:rFonts w:ascii="Arial" w:hAnsi="Arial" w:cs="Arial"/>
          <w:b/>
          <w:bCs/>
          <w:i/>
          <w:iCs/>
          <w:sz w:val="20"/>
          <w:szCs w:val="20"/>
          <w:lang w:val="es-ES_tradnl"/>
        </w:rPr>
        <w:t>C</w:t>
      </w:r>
      <w:r w:rsidR="00711E76">
        <w:rPr>
          <w:rFonts w:ascii="Arial" w:hAnsi="Arial" w:cs="Arial"/>
          <w:b/>
          <w:bCs/>
          <w:i/>
          <w:iCs/>
          <w:sz w:val="20"/>
          <w:szCs w:val="20"/>
          <w:lang w:val="es-ES_tradnl"/>
        </w:rPr>
        <w:t>asasco</w:t>
      </w:r>
      <w:proofErr w:type="spellEnd"/>
      <w:r w:rsidR="00711E76">
        <w:rPr>
          <w:rFonts w:ascii="Arial" w:hAnsi="Arial" w:cs="Arial"/>
          <w:b/>
          <w:bCs/>
          <w:i/>
          <w:iCs/>
          <w:sz w:val="20"/>
          <w:szCs w:val="20"/>
          <w:lang w:val="es-ES_tradnl"/>
        </w:rPr>
        <w:t xml:space="preserve"> </w:t>
      </w:r>
      <w:r w:rsidRPr="00444EC1">
        <w:rPr>
          <w:rFonts w:ascii="Arial" w:hAnsi="Arial" w:cs="Arial"/>
          <w:b/>
          <w:bCs/>
          <w:i/>
          <w:iCs/>
          <w:sz w:val="20"/>
          <w:szCs w:val="20"/>
          <w:lang w:val="es-ES_tradnl"/>
        </w:rPr>
        <w:t>S.</w:t>
      </w:r>
      <w:r w:rsidR="00D7116F">
        <w:rPr>
          <w:rFonts w:ascii="Arial" w:hAnsi="Arial" w:cs="Arial"/>
          <w:b/>
          <w:bCs/>
          <w:i/>
          <w:iCs/>
          <w:sz w:val="20"/>
          <w:szCs w:val="20"/>
          <w:lang w:val="es-ES_tradnl"/>
        </w:rPr>
        <w:t>A.</w:t>
      </w:r>
      <w:r w:rsidR="00927093">
        <w:rPr>
          <w:rFonts w:ascii="Arial" w:hAnsi="Arial" w:cs="Arial"/>
          <w:b/>
          <w:bCs/>
          <w:i/>
          <w:iCs/>
          <w:sz w:val="20"/>
          <w:szCs w:val="20"/>
          <w:lang w:val="es-ES_tradnl"/>
        </w:rPr>
        <w:t xml:space="preserve"> </w:t>
      </w:r>
      <w:r w:rsidRPr="00444EC1">
        <w:rPr>
          <w:rFonts w:ascii="Arial" w:hAnsi="Arial" w:cs="Arial"/>
          <w:b/>
          <w:bCs/>
          <w:i/>
          <w:iCs/>
          <w:sz w:val="20"/>
          <w:szCs w:val="20"/>
          <w:lang w:val="es-ES_tradnl"/>
        </w:rPr>
        <w:t xml:space="preserve">c/ </w:t>
      </w:r>
      <w:r w:rsidR="003B10AB">
        <w:rPr>
          <w:rFonts w:ascii="Arial" w:hAnsi="Arial" w:cs="Arial"/>
          <w:b/>
          <w:bCs/>
          <w:i/>
          <w:iCs/>
          <w:sz w:val="20"/>
          <w:szCs w:val="20"/>
          <w:lang w:val="es-ES_tradnl"/>
        </w:rPr>
        <w:t>Corrientes</w:t>
      </w:r>
      <w:r w:rsidR="006A6B3A">
        <w:rPr>
          <w:rFonts w:ascii="Arial" w:hAnsi="Arial" w:cs="Arial"/>
          <w:b/>
          <w:bCs/>
          <w:i/>
          <w:iCs/>
          <w:sz w:val="20"/>
          <w:szCs w:val="20"/>
          <w:lang w:val="es-ES_tradnl"/>
        </w:rPr>
        <w:t>, Provincia de</w:t>
      </w:r>
      <w:r w:rsidRPr="00444EC1">
        <w:rPr>
          <w:rFonts w:ascii="Arial" w:hAnsi="Arial" w:cs="Arial"/>
          <w:b/>
          <w:bCs/>
          <w:i/>
          <w:iCs/>
          <w:sz w:val="20"/>
          <w:szCs w:val="20"/>
          <w:lang w:val="es-ES_tradnl"/>
        </w:rPr>
        <w:t xml:space="preserve"> s/ </w:t>
      </w:r>
      <w:r w:rsidR="006A6B3A">
        <w:rPr>
          <w:rFonts w:ascii="Arial" w:hAnsi="Arial" w:cs="Arial"/>
          <w:b/>
          <w:bCs/>
          <w:i/>
          <w:iCs/>
          <w:sz w:val="20"/>
          <w:szCs w:val="20"/>
          <w:lang w:val="es-ES_tradnl"/>
        </w:rPr>
        <w:t xml:space="preserve">acción </w:t>
      </w:r>
      <w:r w:rsidR="00F31486">
        <w:rPr>
          <w:rFonts w:ascii="Arial" w:hAnsi="Arial" w:cs="Arial"/>
          <w:b/>
          <w:bCs/>
          <w:i/>
          <w:iCs/>
          <w:sz w:val="20"/>
          <w:szCs w:val="20"/>
          <w:lang w:val="es-ES_tradnl"/>
        </w:rPr>
        <w:t>declarativa de certeza”</w:t>
      </w:r>
      <w:r>
        <w:rPr>
          <w:rFonts w:ascii="Arial" w:hAnsi="Arial" w:cs="Arial"/>
          <w:b/>
          <w:bCs/>
          <w:i/>
          <w:iCs/>
          <w:sz w:val="20"/>
          <w:szCs w:val="20"/>
          <w:lang w:val="es-ES_tradnl"/>
        </w:rPr>
        <w:t xml:space="preserve"> (2</w:t>
      </w:r>
      <w:r w:rsidR="00F31486">
        <w:rPr>
          <w:rFonts w:ascii="Arial" w:hAnsi="Arial" w:cs="Arial"/>
          <w:b/>
          <w:bCs/>
          <w:i/>
          <w:iCs/>
          <w:sz w:val="20"/>
          <w:szCs w:val="20"/>
          <w:lang w:val="es-ES_tradnl"/>
        </w:rPr>
        <w:t>1</w:t>
      </w:r>
      <w:r w:rsidRPr="00444EC1">
        <w:rPr>
          <w:rFonts w:ascii="Arial" w:hAnsi="Arial" w:cs="Arial"/>
          <w:b/>
          <w:bCs/>
          <w:i/>
          <w:iCs/>
          <w:sz w:val="20"/>
          <w:szCs w:val="20"/>
          <w:lang w:val="es-ES_tradnl"/>
        </w:rPr>
        <w:t>/0</w:t>
      </w:r>
      <w:r w:rsidR="00F31486">
        <w:rPr>
          <w:rFonts w:ascii="Arial" w:hAnsi="Arial" w:cs="Arial"/>
          <w:b/>
          <w:bCs/>
          <w:i/>
          <w:iCs/>
          <w:sz w:val="20"/>
          <w:szCs w:val="20"/>
          <w:lang w:val="es-ES_tradnl"/>
        </w:rPr>
        <w:t>5</w:t>
      </w:r>
      <w:r w:rsidRPr="00444EC1">
        <w:rPr>
          <w:rFonts w:ascii="Arial" w:hAnsi="Arial" w:cs="Arial"/>
          <w:b/>
          <w:bCs/>
          <w:i/>
          <w:iCs/>
          <w:sz w:val="20"/>
          <w:szCs w:val="20"/>
          <w:lang w:val="es-ES_tradnl"/>
        </w:rPr>
        <w:t>/2024)”</w:t>
      </w:r>
      <w:r w:rsidRPr="00444EC1">
        <w:rPr>
          <w:rFonts w:ascii="Arial" w:hAnsi="Arial" w:cs="Arial"/>
          <w:b/>
          <w:bCs/>
          <w:sz w:val="20"/>
          <w:szCs w:val="20"/>
          <w:lang w:val="es-ES_tradnl"/>
        </w:rPr>
        <w:t>. Impuesto sobre los Ingresos Brutos.</w:t>
      </w:r>
      <w:r>
        <w:rPr>
          <w:rFonts w:ascii="Arial" w:hAnsi="Arial" w:cs="Arial"/>
          <w:b/>
          <w:bCs/>
          <w:sz w:val="20"/>
          <w:szCs w:val="20"/>
          <w:lang w:val="es-ES_tradnl"/>
        </w:rPr>
        <w:t xml:space="preserve"> </w:t>
      </w:r>
      <w:r w:rsidR="00927093">
        <w:rPr>
          <w:rFonts w:ascii="Arial" w:hAnsi="Arial" w:cs="Arial"/>
          <w:b/>
          <w:bCs/>
          <w:sz w:val="20"/>
          <w:szCs w:val="20"/>
          <w:lang w:val="es-ES_tradnl"/>
        </w:rPr>
        <w:t>Alícuotas</w:t>
      </w:r>
      <w:r w:rsidR="00F31486">
        <w:rPr>
          <w:rFonts w:ascii="Arial" w:hAnsi="Arial" w:cs="Arial"/>
          <w:b/>
          <w:bCs/>
          <w:sz w:val="20"/>
          <w:szCs w:val="20"/>
          <w:lang w:val="es-ES_tradnl"/>
        </w:rPr>
        <w:t xml:space="preserve"> difere</w:t>
      </w:r>
      <w:r w:rsidR="00AF51A9">
        <w:rPr>
          <w:rFonts w:ascii="Arial" w:hAnsi="Arial" w:cs="Arial"/>
          <w:b/>
          <w:bCs/>
          <w:sz w:val="20"/>
          <w:szCs w:val="20"/>
          <w:lang w:val="es-ES_tradnl"/>
        </w:rPr>
        <w:t>n</w:t>
      </w:r>
      <w:r w:rsidR="00F31486">
        <w:rPr>
          <w:rFonts w:ascii="Arial" w:hAnsi="Arial" w:cs="Arial"/>
          <w:b/>
          <w:bCs/>
          <w:sz w:val="20"/>
          <w:szCs w:val="20"/>
          <w:lang w:val="es-ES_tradnl"/>
        </w:rPr>
        <w:t>ciales</w:t>
      </w:r>
    </w:p>
    <w:p w14:paraId="7808D30A" w14:textId="5D992D4C" w:rsidR="00E825E8" w:rsidRDefault="00E825E8" w:rsidP="00D316F1">
      <w:pPr>
        <w:pStyle w:val="ListParagraph"/>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La CSJN hizo lugar a la </w:t>
      </w:r>
      <w:r w:rsidR="00AF51A9">
        <w:rPr>
          <w:rFonts w:ascii="Arial" w:hAnsi="Arial" w:cs="Arial"/>
          <w:sz w:val="20"/>
          <w:szCs w:val="20"/>
          <w:lang w:val="es-ES_tradnl"/>
        </w:rPr>
        <w:t xml:space="preserve">acción declarativa y entendió que </w:t>
      </w:r>
      <w:r w:rsidR="006617AB" w:rsidRPr="006617AB">
        <w:rPr>
          <w:rFonts w:ascii="Arial" w:hAnsi="Arial" w:cs="Arial"/>
          <w:sz w:val="20"/>
          <w:szCs w:val="20"/>
          <w:lang w:val="es-ES_tradnl"/>
        </w:rPr>
        <w:t>la aplicación de parte de la Provincia</w:t>
      </w:r>
      <w:r w:rsidR="00D316F1">
        <w:rPr>
          <w:rFonts w:ascii="Arial" w:hAnsi="Arial" w:cs="Arial"/>
          <w:sz w:val="20"/>
          <w:szCs w:val="20"/>
          <w:lang w:val="es-ES_tradnl"/>
        </w:rPr>
        <w:t xml:space="preserve"> </w:t>
      </w:r>
      <w:r w:rsidR="006617AB" w:rsidRPr="006617AB">
        <w:rPr>
          <w:rFonts w:ascii="Arial" w:hAnsi="Arial" w:cs="Arial"/>
          <w:sz w:val="20"/>
          <w:szCs w:val="20"/>
          <w:lang w:val="es-ES_tradnl"/>
        </w:rPr>
        <w:t xml:space="preserve">de Corrientes de alícuotas diferenciales </w:t>
      </w:r>
      <w:r w:rsidR="00D316F1">
        <w:rPr>
          <w:rFonts w:ascii="Arial" w:hAnsi="Arial" w:cs="Arial"/>
          <w:sz w:val="20"/>
          <w:szCs w:val="20"/>
          <w:lang w:val="es-ES_tradnl"/>
        </w:rPr>
        <w:t>es inconstitucional.</w:t>
      </w:r>
    </w:p>
    <w:p w14:paraId="6921F3EF" w14:textId="77777777" w:rsidR="00E825E8" w:rsidRDefault="00E825E8" w:rsidP="000C05AB">
      <w:pPr>
        <w:pStyle w:val="ListParagraph"/>
        <w:snapToGrid w:val="0"/>
        <w:spacing w:after="240" w:line="360" w:lineRule="auto"/>
        <w:ind w:left="360"/>
        <w:contextualSpacing w:val="0"/>
        <w:jc w:val="both"/>
        <w:rPr>
          <w:rFonts w:ascii="Arial" w:hAnsi="Arial" w:cs="Arial"/>
          <w:sz w:val="20"/>
          <w:szCs w:val="20"/>
          <w:lang w:val="es-ES_tradnl"/>
        </w:rPr>
      </w:pPr>
    </w:p>
    <w:p w14:paraId="2ECD53C3" w14:textId="2BC23841" w:rsidR="002B0ACD" w:rsidRPr="00ED791E" w:rsidRDefault="002B0ACD" w:rsidP="001E677B">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sidRPr="00ED791E">
        <w:rPr>
          <w:rFonts w:ascii="Arial" w:hAnsi="Arial" w:cs="Arial"/>
          <w:b/>
          <w:bCs/>
          <w:sz w:val="20"/>
          <w:szCs w:val="20"/>
          <w:lang w:val="es-ES_tradnl"/>
        </w:rPr>
        <w:lastRenderedPageBreak/>
        <w:t>Suprema Corte de Justicia de la Provincia de Buenos Aires. “</w:t>
      </w:r>
      <w:proofErr w:type="spellStart"/>
      <w:r w:rsidR="00A96EC2" w:rsidRPr="00ED791E">
        <w:rPr>
          <w:rFonts w:ascii="Arial" w:hAnsi="Arial" w:cs="Arial"/>
          <w:b/>
          <w:bCs/>
          <w:sz w:val="20"/>
          <w:szCs w:val="20"/>
          <w:lang w:val="es-ES_tradnl"/>
        </w:rPr>
        <w:t>Yofe</w:t>
      </w:r>
      <w:proofErr w:type="spellEnd"/>
      <w:r w:rsidR="00A96EC2" w:rsidRPr="00ED791E">
        <w:rPr>
          <w:rFonts w:ascii="Arial" w:hAnsi="Arial" w:cs="Arial"/>
          <w:b/>
          <w:bCs/>
          <w:sz w:val="20"/>
          <w:szCs w:val="20"/>
          <w:lang w:val="es-ES_tradnl"/>
        </w:rPr>
        <w:t xml:space="preserve"> </w:t>
      </w:r>
      <w:proofErr w:type="spellStart"/>
      <w:r w:rsidR="00A96EC2" w:rsidRPr="00ED791E">
        <w:rPr>
          <w:rFonts w:ascii="Arial" w:hAnsi="Arial" w:cs="Arial"/>
          <w:b/>
          <w:bCs/>
          <w:sz w:val="20"/>
          <w:szCs w:val="20"/>
          <w:lang w:val="es-ES_tradnl"/>
        </w:rPr>
        <w:t>Matias</w:t>
      </w:r>
      <w:proofErr w:type="spellEnd"/>
      <w:r w:rsidR="00C43F7C" w:rsidRPr="00ED791E">
        <w:rPr>
          <w:rFonts w:ascii="Arial" w:hAnsi="Arial" w:cs="Arial"/>
          <w:b/>
          <w:bCs/>
          <w:sz w:val="20"/>
          <w:szCs w:val="20"/>
          <w:lang w:val="es-ES_tradnl"/>
        </w:rPr>
        <w:t xml:space="preserve"> C/ MUNICIPALIDAD DE</w:t>
      </w:r>
      <w:r w:rsidR="00A96EC2" w:rsidRPr="00ED791E">
        <w:rPr>
          <w:rFonts w:ascii="Arial" w:hAnsi="Arial" w:cs="Arial"/>
          <w:b/>
          <w:bCs/>
          <w:sz w:val="20"/>
          <w:szCs w:val="20"/>
          <w:lang w:val="es-ES_tradnl"/>
        </w:rPr>
        <w:t xml:space="preserve"> </w:t>
      </w:r>
      <w:r w:rsidR="00C43F7C" w:rsidRPr="00ED791E">
        <w:rPr>
          <w:rFonts w:ascii="Arial" w:hAnsi="Arial" w:cs="Arial"/>
          <w:b/>
          <w:bCs/>
          <w:sz w:val="20"/>
          <w:szCs w:val="20"/>
          <w:lang w:val="es-ES_tradnl"/>
        </w:rPr>
        <w:t>PILAR S/ INCONST. DE LA</w:t>
      </w:r>
      <w:r w:rsidR="00A96EC2" w:rsidRPr="00ED791E">
        <w:rPr>
          <w:rFonts w:ascii="Arial" w:hAnsi="Arial" w:cs="Arial"/>
          <w:b/>
          <w:bCs/>
          <w:sz w:val="20"/>
          <w:szCs w:val="20"/>
          <w:lang w:val="es-ES_tradnl"/>
        </w:rPr>
        <w:t xml:space="preserve"> </w:t>
      </w:r>
      <w:r w:rsidR="00C43F7C" w:rsidRPr="00ED791E">
        <w:rPr>
          <w:rFonts w:ascii="Arial" w:hAnsi="Arial" w:cs="Arial"/>
          <w:b/>
          <w:bCs/>
          <w:sz w:val="20"/>
          <w:szCs w:val="20"/>
          <w:lang w:val="es-ES_tradnl"/>
        </w:rPr>
        <w:t>ORDENANZA MUNIC</w:t>
      </w:r>
      <w:r w:rsidRPr="00ED791E">
        <w:rPr>
          <w:rFonts w:ascii="Arial" w:hAnsi="Arial" w:cs="Arial"/>
          <w:b/>
          <w:bCs/>
          <w:i/>
          <w:iCs/>
          <w:sz w:val="20"/>
          <w:szCs w:val="20"/>
          <w:lang w:val="es-ES_tradnl"/>
        </w:rPr>
        <w:t>"</w:t>
      </w:r>
      <w:r w:rsidR="00114EB8" w:rsidRPr="00ED791E">
        <w:rPr>
          <w:rFonts w:ascii="Arial" w:hAnsi="Arial" w:cs="Arial"/>
          <w:b/>
          <w:bCs/>
          <w:i/>
          <w:iCs/>
          <w:sz w:val="20"/>
          <w:szCs w:val="20"/>
          <w:lang w:val="es-ES_tradnl"/>
        </w:rPr>
        <w:t>03</w:t>
      </w:r>
      <w:r w:rsidRPr="00ED791E">
        <w:rPr>
          <w:rFonts w:ascii="Arial" w:hAnsi="Arial" w:cs="Arial"/>
          <w:b/>
          <w:bCs/>
          <w:i/>
          <w:iCs/>
          <w:sz w:val="20"/>
          <w:szCs w:val="20"/>
          <w:lang w:val="es-ES_tradnl"/>
        </w:rPr>
        <w:t xml:space="preserve"> (</w:t>
      </w:r>
      <w:r w:rsidR="00357AE9" w:rsidRPr="00ED791E">
        <w:rPr>
          <w:rFonts w:ascii="Arial" w:hAnsi="Arial" w:cs="Arial"/>
          <w:b/>
          <w:bCs/>
          <w:i/>
          <w:iCs/>
          <w:sz w:val="20"/>
          <w:szCs w:val="20"/>
          <w:lang w:val="es-ES_tradnl"/>
        </w:rPr>
        <w:t>1</w:t>
      </w:r>
      <w:r w:rsidR="00114EB8" w:rsidRPr="00ED791E">
        <w:rPr>
          <w:rFonts w:ascii="Arial" w:hAnsi="Arial" w:cs="Arial"/>
          <w:b/>
          <w:bCs/>
          <w:i/>
          <w:iCs/>
          <w:sz w:val="20"/>
          <w:szCs w:val="20"/>
          <w:lang w:val="es-ES_tradnl"/>
        </w:rPr>
        <w:t>/06/2</w:t>
      </w:r>
      <w:r w:rsidRPr="00ED791E">
        <w:rPr>
          <w:rFonts w:ascii="Arial" w:hAnsi="Arial" w:cs="Arial"/>
          <w:b/>
          <w:bCs/>
          <w:i/>
          <w:iCs/>
          <w:sz w:val="20"/>
          <w:szCs w:val="20"/>
          <w:lang w:val="es-ES_tradnl"/>
        </w:rPr>
        <w:t>024)”</w:t>
      </w:r>
      <w:r w:rsidRPr="00ED791E">
        <w:rPr>
          <w:rFonts w:ascii="Arial" w:hAnsi="Arial" w:cs="Arial"/>
          <w:b/>
          <w:bCs/>
          <w:sz w:val="20"/>
          <w:szCs w:val="20"/>
          <w:lang w:val="es-ES_tradnl"/>
        </w:rPr>
        <w:t xml:space="preserve">. </w:t>
      </w:r>
      <w:r w:rsidR="00114EB8" w:rsidRPr="00ED791E">
        <w:rPr>
          <w:rFonts w:ascii="Arial" w:hAnsi="Arial" w:cs="Arial"/>
          <w:b/>
          <w:bCs/>
          <w:sz w:val="20"/>
          <w:szCs w:val="20"/>
          <w:lang w:val="es-ES_tradnl"/>
        </w:rPr>
        <w:t xml:space="preserve"> </w:t>
      </w:r>
      <w:r w:rsidR="00ED791E" w:rsidRPr="00ED791E">
        <w:rPr>
          <w:rFonts w:ascii="Arial" w:hAnsi="Arial" w:cs="Arial"/>
          <w:b/>
          <w:bCs/>
          <w:sz w:val="20"/>
          <w:szCs w:val="20"/>
          <w:lang w:val="es-ES_tradnl"/>
        </w:rPr>
        <w:t xml:space="preserve">Tasa </w:t>
      </w:r>
      <w:r w:rsidR="0003411A">
        <w:rPr>
          <w:rFonts w:ascii="Arial" w:hAnsi="Arial" w:cs="Arial"/>
          <w:b/>
          <w:bCs/>
          <w:sz w:val="20"/>
          <w:szCs w:val="20"/>
          <w:lang w:val="es-ES_tradnl"/>
        </w:rPr>
        <w:t>Vial. Tasa por protección ambiental</w:t>
      </w:r>
      <w:r w:rsidR="00DF3C82" w:rsidRPr="00ED791E">
        <w:rPr>
          <w:rFonts w:ascii="Arial" w:hAnsi="Arial" w:cs="Arial"/>
          <w:b/>
          <w:bCs/>
          <w:sz w:val="20"/>
          <w:szCs w:val="20"/>
          <w:lang w:val="es-ES_tradnl"/>
        </w:rPr>
        <w:t>.</w:t>
      </w:r>
    </w:p>
    <w:p w14:paraId="7CDA7A8D" w14:textId="010E9738" w:rsidR="003B63DD" w:rsidRDefault="00CA48D3" w:rsidP="003B63DD">
      <w:pPr>
        <w:pStyle w:val="ListParagraph"/>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Se rechaza la demanda por falta de fundamentos idóneos.</w:t>
      </w:r>
    </w:p>
    <w:p w14:paraId="29BEDCFB" w14:textId="77777777" w:rsidR="00CC3E64" w:rsidRDefault="00CC3E64" w:rsidP="003B63DD">
      <w:pPr>
        <w:pStyle w:val="ListParagraph"/>
        <w:snapToGrid w:val="0"/>
        <w:spacing w:after="240" w:line="360" w:lineRule="auto"/>
        <w:ind w:left="360"/>
        <w:contextualSpacing w:val="0"/>
        <w:jc w:val="both"/>
        <w:rPr>
          <w:rFonts w:ascii="Arial" w:hAnsi="Arial" w:cs="Arial"/>
          <w:sz w:val="20"/>
          <w:szCs w:val="20"/>
          <w:lang w:val="es-ES_tradnl"/>
        </w:rPr>
      </w:pPr>
    </w:p>
    <w:p w14:paraId="48B0900D" w14:textId="4E7B14FA" w:rsidR="00CC3E64" w:rsidRPr="00ED791E" w:rsidRDefault="00E14FEC" w:rsidP="00CC3E64">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Cámara Federal de Posadas</w:t>
      </w:r>
      <w:r w:rsidR="00CC3E64" w:rsidRPr="00ED791E">
        <w:rPr>
          <w:rFonts w:ascii="Arial" w:hAnsi="Arial" w:cs="Arial"/>
          <w:b/>
          <w:bCs/>
          <w:sz w:val="20"/>
          <w:szCs w:val="20"/>
          <w:lang w:val="es-ES_tradnl"/>
        </w:rPr>
        <w:t>. “</w:t>
      </w:r>
      <w:r w:rsidR="001F5058" w:rsidRPr="001F5058">
        <w:rPr>
          <w:rFonts w:ascii="Arial" w:hAnsi="Arial" w:cs="Arial"/>
          <w:b/>
          <w:bCs/>
          <w:sz w:val="20"/>
          <w:szCs w:val="20"/>
          <w:lang w:val="es-ES_tradnl"/>
        </w:rPr>
        <w:t xml:space="preserve">U.T.E. – </w:t>
      </w:r>
      <w:r w:rsidR="0003411A" w:rsidRPr="001F5058">
        <w:rPr>
          <w:rFonts w:ascii="Arial" w:hAnsi="Arial" w:cs="Arial"/>
          <w:b/>
          <w:bCs/>
          <w:sz w:val="20"/>
          <w:szCs w:val="20"/>
          <w:lang w:val="es-ES_tradnl"/>
        </w:rPr>
        <w:t>SUPERCEMENTO S.A.I.C., BENITO ROGGIO E HIJOS S.A. Y ESUCO S.A– Y OTROS</w:t>
      </w:r>
      <w:r w:rsidR="001F5058" w:rsidRPr="001F5058">
        <w:rPr>
          <w:rFonts w:ascii="Arial" w:hAnsi="Arial" w:cs="Arial"/>
          <w:b/>
          <w:bCs/>
          <w:sz w:val="20"/>
          <w:szCs w:val="20"/>
          <w:lang w:val="es-ES_tradnl"/>
        </w:rPr>
        <w:t xml:space="preserve"> c/ MUNICIPALIDAD DE LA CIUDAD DE POSADAS s/ACCION MERAMENTE DECLARATIVA DE INCONSTITUCIONALIDAD</w:t>
      </w:r>
      <w:r w:rsidR="001F5058">
        <w:rPr>
          <w:rFonts w:ascii="Arial" w:hAnsi="Arial" w:cs="Arial"/>
          <w:b/>
          <w:bCs/>
          <w:sz w:val="20"/>
          <w:szCs w:val="20"/>
          <w:lang w:val="es-ES_tradnl"/>
        </w:rPr>
        <w:t>”</w:t>
      </w:r>
      <w:r w:rsidR="00CC3E64" w:rsidRPr="00ED791E">
        <w:rPr>
          <w:rFonts w:ascii="Arial" w:hAnsi="Arial" w:cs="Arial"/>
          <w:b/>
          <w:bCs/>
          <w:i/>
          <w:iCs/>
          <w:sz w:val="20"/>
          <w:szCs w:val="20"/>
          <w:lang w:val="es-ES_tradnl"/>
        </w:rPr>
        <w:t xml:space="preserve"> (</w:t>
      </w:r>
      <w:r w:rsidR="00CC0D1C">
        <w:rPr>
          <w:rFonts w:ascii="Arial" w:hAnsi="Arial" w:cs="Arial"/>
          <w:b/>
          <w:bCs/>
          <w:i/>
          <w:iCs/>
          <w:sz w:val="20"/>
          <w:szCs w:val="20"/>
          <w:lang w:val="es-ES_tradnl"/>
        </w:rPr>
        <w:t>0</w:t>
      </w:r>
      <w:r w:rsidR="009C3C7B">
        <w:rPr>
          <w:rFonts w:ascii="Arial" w:hAnsi="Arial" w:cs="Arial"/>
          <w:b/>
          <w:bCs/>
          <w:i/>
          <w:iCs/>
          <w:sz w:val="20"/>
          <w:szCs w:val="20"/>
          <w:lang w:val="es-ES_tradnl"/>
        </w:rPr>
        <w:t>4</w:t>
      </w:r>
      <w:r w:rsidR="00CC3E64" w:rsidRPr="00ED791E">
        <w:rPr>
          <w:rFonts w:ascii="Arial" w:hAnsi="Arial" w:cs="Arial"/>
          <w:b/>
          <w:bCs/>
          <w:i/>
          <w:iCs/>
          <w:sz w:val="20"/>
          <w:szCs w:val="20"/>
          <w:lang w:val="es-ES_tradnl"/>
        </w:rPr>
        <w:t>/06/2024)”</w:t>
      </w:r>
      <w:r w:rsidR="00CC3E64" w:rsidRPr="00ED791E">
        <w:rPr>
          <w:rFonts w:ascii="Arial" w:hAnsi="Arial" w:cs="Arial"/>
          <w:b/>
          <w:bCs/>
          <w:sz w:val="20"/>
          <w:szCs w:val="20"/>
          <w:lang w:val="es-ES_tradnl"/>
        </w:rPr>
        <w:t xml:space="preserve">.  </w:t>
      </w:r>
      <w:r w:rsidR="00CC0D1C" w:rsidRPr="00CC0D1C">
        <w:rPr>
          <w:rFonts w:ascii="Arial" w:hAnsi="Arial" w:cs="Arial"/>
          <w:b/>
          <w:bCs/>
          <w:sz w:val="20"/>
          <w:szCs w:val="20"/>
          <w:lang w:val="es-ES_tradnl"/>
        </w:rPr>
        <w:t>Tasa de Derecho de Inspección, Registro y Servicio Contralor</w:t>
      </w:r>
      <w:r w:rsidR="00CC3E64" w:rsidRPr="00ED791E">
        <w:rPr>
          <w:rFonts w:ascii="Arial" w:hAnsi="Arial" w:cs="Arial"/>
          <w:b/>
          <w:bCs/>
          <w:sz w:val="20"/>
          <w:szCs w:val="20"/>
          <w:lang w:val="es-ES_tradnl"/>
        </w:rPr>
        <w:t>.</w:t>
      </w:r>
    </w:p>
    <w:p w14:paraId="4A850F2F" w14:textId="042CCEB9" w:rsidR="00CC3E64" w:rsidRDefault="002621E0" w:rsidP="003B63DD">
      <w:pPr>
        <w:pStyle w:val="ListParagraph"/>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 xml:space="preserve">Falta de prestación de servicios. </w:t>
      </w:r>
      <w:r w:rsidR="00A813E0">
        <w:rPr>
          <w:rFonts w:ascii="Arial" w:hAnsi="Arial" w:cs="Arial"/>
          <w:sz w:val="20"/>
          <w:szCs w:val="20"/>
          <w:lang w:val="es-ES_tradnl"/>
        </w:rPr>
        <w:t>Inexistencia de local habilitado.</w:t>
      </w:r>
    </w:p>
    <w:p w14:paraId="451C72B1" w14:textId="77777777" w:rsidR="00CC3E64" w:rsidRDefault="00CC3E64" w:rsidP="003B63DD">
      <w:pPr>
        <w:pStyle w:val="ListParagraph"/>
        <w:snapToGrid w:val="0"/>
        <w:spacing w:after="240" w:line="360" w:lineRule="auto"/>
        <w:ind w:left="360"/>
        <w:contextualSpacing w:val="0"/>
        <w:jc w:val="both"/>
        <w:rPr>
          <w:rFonts w:ascii="Arial" w:hAnsi="Arial" w:cs="Arial"/>
          <w:sz w:val="20"/>
          <w:szCs w:val="20"/>
          <w:lang w:val="es-ES_tradnl"/>
        </w:rPr>
      </w:pPr>
    </w:p>
    <w:p w14:paraId="3058A7AA" w14:textId="63C4BC35" w:rsidR="00F26251" w:rsidRDefault="00F26251" w:rsidP="00250C1B">
      <w:pPr>
        <w:pStyle w:val="ListParagraph"/>
        <w:numPr>
          <w:ilvl w:val="0"/>
          <w:numId w:val="1"/>
        </w:numPr>
        <w:snapToGrid w:val="0"/>
        <w:spacing w:after="240" w:line="360" w:lineRule="auto"/>
        <w:contextualSpacing w:val="0"/>
        <w:jc w:val="both"/>
        <w:rPr>
          <w:rFonts w:ascii="Arial" w:hAnsi="Arial" w:cs="Arial"/>
          <w:sz w:val="20"/>
          <w:szCs w:val="20"/>
          <w:lang w:val="es-ES_tradnl"/>
        </w:rPr>
      </w:pPr>
      <w:r>
        <w:rPr>
          <w:rFonts w:ascii="Arial" w:hAnsi="Arial" w:cs="Arial"/>
          <w:b/>
          <w:bCs/>
          <w:sz w:val="20"/>
          <w:szCs w:val="20"/>
          <w:lang w:val="es-ES_tradnl"/>
        </w:rPr>
        <w:t xml:space="preserve">Cámara </w:t>
      </w:r>
      <w:r w:rsidR="00250C1B">
        <w:rPr>
          <w:rFonts w:ascii="Arial" w:hAnsi="Arial" w:cs="Arial"/>
          <w:b/>
          <w:bCs/>
          <w:sz w:val="20"/>
          <w:szCs w:val="20"/>
          <w:lang w:val="es-ES_tradnl"/>
        </w:rPr>
        <w:t>de Apelaciones en lo Contencioso Administrativo de Mar del Plata</w:t>
      </w:r>
      <w:r w:rsidRPr="00ED791E">
        <w:rPr>
          <w:rFonts w:ascii="Arial" w:hAnsi="Arial" w:cs="Arial"/>
          <w:b/>
          <w:bCs/>
          <w:sz w:val="20"/>
          <w:szCs w:val="20"/>
          <w:lang w:val="es-ES_tradnl"/>
        </w:rPr>
        <w:t>. “</w:t>
      </w:r>
      <w:r w:rsidR="00617E4B" w:rsidRPr="00617E4B">
        <w:rPr>
          <w:rFonts w:ascii="Arial" w:hAnsi="Arial" w:cs="Arial"/>
          <w:b/>
          <w:bCs/>
          <w:sz w:val="20"/>
          <w:szCs w:val="20"/>
          <w:lang w:val="es-ES_tradnl"/>
        </w:rPr>
        <w:t>YACHT CLUB ARGENTINO c. AGENCIA DE RECAUDACIÓN DE LA PROVINCIA DE BUENOS AIRES - ARBA s. PRETENSIÓN DECLARARIVA DE CERTEZA - OTROS JUICIOS</w:t>
      </w:r>
      <w:r>
        <w:rPr>
          <w:rFonts w:ascii="Arial" w:hAnsi="Arial" w:cs="Arial"/>
          <w:b/>
          <w:bCs/>
          <w:sz w:val="20"/>
          <w:szCs w:val="20"/>
          <w:lang w:val="es-ES_tradnl"/>
        </w:rPr>
        <w:t>”</w:t>
      </w:r>
      <w:r w:rsidRPr="00ED791E">
        <w:rPr>
          <w:rFonts w:ascii="Arial" w:hAnsi="Arial" w:cs="Arial"/>
          <w:b/>
          <w:bCs/>
          <w:i/>
          <w:iCs/>
          <w:sz w:val="20"/>
          <w:szCs w:val="20"/>
          <w:lang w:val="es-ES_tradnl"/>
        </w:rPr>
        <w:t xml:space="preserve"> (</w:t>
      </w:r>
      <w:r>
        <w:rPr>
          <w:rFonts w:ascii="Arial" w:hAnsi="Arial" w:cs="Arial"/>
          <w:b/>
          <w:bCs/>
          <w:i/>
          <w:iCs/>
          <w:sz w:val="20"/>
          <w:szCs w:val="20"/>
          <w:lang w:val="es-ES_tradnl"/>
        </w:rPr>
        <w:t>03</w:t>
      </w:r>
      <w:r w:rsidRPr="00ED791E">
        <w:rPr>
          <w:rFonts w:ascii="Arial" w:hAnsi="Arial" w:cs="Arial"/>
          <w:b/>
          <w:bCs/>
          <w:i/>
          <w:iCs/>
          <w:sz w:val="20"/>
          <w:szCs w:val="20"/>
          <w:lang w:val="es-ES_tradnl"/>
        </w:rPr>
        <w:t>/06/2024)”</w:t>
      </w:r>
      <w:r w:rsidRPr="00ED791E">
        <w:rPr>
          <w:rFonts w:ascii="Arial" w:hAnsi="Arial" w:cs="Arial"/>
          <w:b/>
          <w:bCs/>
          <w:sz w:val="20"/>
          <w:szCs w:val="20"/>
          <w:lang w:val="es-ES_tradnl"/>
        </w:rPr>
        <w:t xml:space="preserve">.  </w:t>
      </w:r>
      <w:r w:rsidR="00111D9D">
        <w:rPr>
          <w:rFonts w:ascii="Arial" w:hAnsi="Arial" w:cs="Arial"/>
          <w:b/>
          <w:bCs/>
          <w:sz w:val="20"/>
          <w:szCs w:val="20"/>
          <w:lang w:val="es-ES_tradnl"/>
        </w:rPr>
        <w:t>Impuesto sobre los Ingresos Brutos. Actividad exenta. Entidades sin fines de lucro.</w:t>
      </w:r>
    </w:p>
    <w:p w14:paraId="28FD7421" w14:textId="4CCA03F1" w:rsidR="00F26251" w:rsidRDefault="00203C8D" w:rsidP="003B63DD">
      <w:pPr>
        <w:pStyle w:val="ListParagraph"/>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Se hace lugar a la demanda. Aplicación del Régimen de Coparticipación Federal de Impuestos.</w:t>
      </w:r>
    </w:p>
    <w:p w14:paraId="6AA0B545" w14:textId="77777777" w:rsidR="00F26251" w:rsidRDefault="00F26251" w:rsidP="003B63DD">
      <w:pPr>
        <w:pStyle w:val="ListParagraph"/>
        <w:snapToGrid w:val="0"/>
        <w:spacing w:after="240" w:line="360" w:lineRule="auto"/>
        <w:ind w:left="360"/>
        <w:contextualSpacing w:val="0"/>
        <w:jc w:val="both"/>
        <w:rPr>
          <w:rFonts w:ascii="Arial" w:hAnsi="Arial" w:cs="Arial"/>
          <w:sz w:val="20"/>
          <w:szCs w:val="20"/>
          <w:lang w:val="es-ES_tradnl"/>
        </w:rPr>
      </w:pPr>
    </w:p>
    <w:p w14:paraId="649C79B8" w14:textId="50679678" w:rsidR="003B63DD" w:rsidRPr="00A96EC2" w:rsidRDefault="00B07EF7" w:rsidP="003B63DD">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 xml:space="preserve">Juzgado </w:t>
      </w:r>
      <w:r w:rsidR="0076441E">
        <w:rPr>
          <w:rFonts w:ascii="Arial" w:hAnsi="Arial" w:cs="Arial"/>
          <w:b/>
          <w:bCs/>
          <w:sz w:val="20"/>
          <w:szCs w:val="20"/>
          <w:lang w:val="es-ES_tradnl"/>
        </w:rPr>
        <w:t xml:space="preserve">de Primera Instancia </w:t>
      </w:r>
      <w:r>
        <w:rPr>
          <w:rFonts w:ascii="Arial" w:hAnsi="Arial" w:cs="Arial"/>
          <w:b/>
          <w:bCs/>
          <w:sz w:val="20"/>
          <w:szCs w:val="20"/>
          <w:lang w:val="es-ES_tradnl"/>
        </w:rPr>
        <w:t xml:space="preserve">en lo Contencioso Administrativo de San Isidro </w:t>
      </w:r>
      <w:proofErr w:type="spellStart"/>
      <w:r>
        <w:rPr>
          <w:rFonts w:ascii="Arial" w:hAnsi="Arial" w:cs="Arial"/>
          <w:b/>
          <w:bCs/>
          <w:sz w:val="20"/>
          <w:szCs w:val="20"/>
          <w:lang w:val="es-ES_tradnl"/>
        </w:rPr>
        <w:t>N°</w:t>
      </w:r>
      <w:proofErr w:type="spellEnd"/>
      <w:r>
        <w:rPr>
          <w:rFonts w:ascii="Arial" w:hAnsi="Arial" w:cs="Arial"/>
          <w:b/>
          <w:bCs/>
          <w:sz w:val="20"/>
          <w:szCs w:val="20"/>
          <w:lang w:val="es-ES_tradnl"/>
        </w:rPr>
        <w:t xml:space="preserve"> 1</w:t>
      </w:r>
      <w:r w:rsidR="003B63DD" w:rsidRPr="00A96EC2">
        <w:rPr>
          <w:rFonts w:ascii="Arial" w:hAnsi="Arial" w:cs="Arial"/>
          <w:b/>
          <w:bCs/>
          <w:sz w:val="20"/>
          <w:szCs w:val="20"/>
          <w:lang w:val="es-ES_tradnl"/>
        </w:rPr>
        <w:t xml:space="preserve"> </w:t>
      </w:r>
      <w:r w:rsidR="0076441E">
        <w:rPr>
          <w:rFonts w:ascii="Arial" w:hAnsi="Arial" w:cs="Arial"/>
          <w:b/>
          <w:bCs/>
          <w:sz w:val="20"/>
          <w:szCs w:val="20"/>
          <w:lang w:val="es-ES_tradnl"/>
        </w:rPr>
        <w:t>de San Isidro.</w:t>
      </w:r>
      <w:r w:rsidR="003B63DD" w:rsidRPr="00A96EC2">
        <w:rPr>
          <w:rFonts w:ascii="Arial" w:hAnsi="Arial" w:cs="Arial"/>
          <w:b/>
          <w:bCs/>
          <w:sz w:val="20"/>
          <w:szCs w:val="20"/>
          <w:lang w:val="es-ES_tradnl"/>
        </w:rPr>
        <w:t xml:space="preserve"> “</w:t>
      </w:r>
      <w:r w:rsidR="0076441E" w:rsidRPr="0076441E">
        <w:rPr>
          <w:rFonts w:ascii="Arial" w:hAnsi="Arial" w:cs="Arial"/>
          <w:b/>
          <w:bCs/>
          <w:sz w:val="20"/>
          <w:szCs w:val="20"/>
          <w:lang w:val="es-ES_tradnl"/>
        </w:rPr>
        <w:t xml:space="preserve">New Revlon Argentina S A </w:t>
      </w:r>
      <w:r w:rsidR="0076441E" w:rsidRPr="0076441E">
        <w:rPr>
          <w:rFonts w:ascii="Arial" w:hAnsi="Arial" w:cs="Arial"/>
          <w:b/>
          <w:bCs/>
          <w:sz w:val="20"/>
          <w:szCs w:val="20"/>
          <w:lang w:val="es-ES_tradnl"/>
        </w:rPr>
        <w:t xml:space="preserve">C/ </w:t>
      </w:r>
      <w:r w:rsidR="0076441E" w:rsidRPr="0076441E">
        <w:rPr>
          <w:rFonts w:ascii="Arial" w:hAnsi="Arial" w:cs="Arial"/>
          <w:b/>
          <w:bCs/>
          <w:sz w:val="20"/>
          <w:szCs w:val="20"/>
          <w:lang w:val="es-ES_tradnl"/>
        </w:rPr>
        <w:t xml:space="preserve">Municipalidad </w:t>
      </w:r>
      <w:r w:rsidR="0076441E">
        <w:rPr>
          <w:rFonts w:ascii="Arial" w:hAnsi="Arial" w:cs="Arial"/>
          <w:b/>
          <w:bCs/>
          <w:sz w:val="20"/>
          <w:szCs w:val="20"/>
          <w:lang w:val="es-ES_tradnl"/>
        </w:rPr>
        <w:t>d</w:t>
      </w:r>
      <w:r w:rsidR="0076441E" w:rsidRPr="0076441E">
        <w:rPr>
          <w:rFonts w:ascii="Arial" w:hAnsi="Arial" w:cs="Arial"/>
          <w:b/>
          <w:bCs/>
          <w:sz w:val="20"/>
          <w:szCs w:val="20"/>
          <w:lang w:val="es-ES_tradnl"/>
        </w:rPr>
        <w:t xml:space="preserve">e San Isidro </w:t>
      </w:r>
      <w:r w:rsidR="0076441E" w:rsidRPr="0076441E">
        <w:rPr>
          <w:rFonts w:ascii="Arial" w:hAnsi="Arial" w:cs="Arial"/>
          <w:b/>
          <w:bCs/>
          <w:sz w:val="20"/>
          <w:szCs w:val="20"/>
          <w:lang w:val="es-ES_tradnl"/>
        </w:rPr>
        <w:t>S/</w:t>
      </w:r>
      <w:r w:rsidR="0076441E" w:rsidRPr="0076441E">
        <w:rPr>
          <w:rFonts w:ascii="Arial" w:hAnsi="Arial" w:cs="Arial"/>
          <w:b/>
          <w:bCs/>
          <w:sz w:val="20"/>
          <w:szCs w:val="20"/>
          <w:lang w:val="es-ES_tradnl"/>
        </w:rPr>
        <w:t xml:space="preserve"> </w:t>
      </w:r>
      <w:proofErr w:type="spellStart"/>
      <w:r w:rsidR="0076441E" w:rsidRPr="0076441E">
        <w:rPr>
          <w:rFonts w:ascii="Arial" w:hAnsi="Arial" w:cs="Arial"/>
          <w:b/>
          <w:bCs/>
          <w:sz w:val="20"/>
          <w:szCs w:val="20"/>
          <w:lang w:val="es-ES_tradnl"/>
        </w:rPr>
        <w:t>Pretension</w:t>
      </w:r>
      <w:proofErr w:type="spellEnd"/>
      <w:r w:rsidR="0076441E" w:rsidRPr="0076441E">
        <w:rPr>
          <w:rFonts w:ascii="Arial" w:hAnsi="Arial" w:cs="Arial"/>
          <w:b/>
          <w:bCs/>
          <w:sz w:val="20"/>
          <w:szCs w:val="20"/>
          <w:lang w:val="es-ES_tradnl"/>
        </w:rPr>
        <w:t xml:space="preserve"> Anulatoria</w:t>
      </w:r>
      <w:r w:rsidR="003B63DD" w:rsidRPr="00A96EC2">
        <w:rPr>
          <w:rFonts w:ascii="Arial" w:hAnsi="Arial" w:cs="Arial"/>
          <w:b/>
          <w:bCs/>
          <w:i/>
          <w:iCs/>
          <w:sz w:val="20"/>
          <w:szCs w:val="20"/>
          <w:lang w:val="es-ES_tradnl"/>
        </w:rPr>
        <w:t>" (</w:t>
      </w:r>
      <w:r w:rsidR="002A37FF">
        <w:rPr>
          <w:rFonts w:ascii="Arial" w:hAnsi="Arial" w:cs="Arial"/>
          <w:b/>
          <w:bCs/>
          <w:i/>
          <w:iCs/>
          <w:sz w:val="20"/>
          <w:szCs w:val="20"/>
          <w:lang w:val="es-ES_tradnl"/>
        </w:rPr>
        <w:t>07</w:t>
      </w:r>
      <w:r w:rsidR="003B63DD" w:rsidRPr="00A96EC2">
        <w:rPr>
          <w:rFonts w:ascii="Arial" w:hAnsi="Arial" w:cs="Arial"/>
          <w:b/>
          <w:bCs/>
          <w:i/>
          <w:iCs/>
          <w:sz w:val="20"/>
          <w:szCs w:val="20"/>
          <w:lang w:val="es-ES_tradnl"/>
        </w:rPr>
        <w:t>1</w:t>
      </w:r>
      <w:r w:rsidR="003B63DD">
        <w:rPr>
          <w:rFonts w:ascii="Arial" w:hAnsi="Arial" w:cs="Arial"/>
          <w:b/>
          <w:bCs/>
          <w:i/>
          <w:iCs/>
          <w:sz w:val="20"/>
          <w:szCs w:val="20"/>
          <w:lang w:val="es-ES_tradnl"/>
        </w:rPr>
        <w:t>/06/2</w:t>
      </w:r>
      <w:r w:rsidR="003B63DD" w:rsidRPr="00A96EC2">
        <w:rPr>
          <w:rFonts w:ascii="Arial" w:hAnsi="Arial" w:cs="Arial"/>
          <w:b/>
          <w:bCs/>
          <w:i/>
          <w:iCs/>
          <w:sz w:val="20"/>
          <w:szCs w:val="20"/>
          <w:lang w:val="es-ES_tradnl"/>
        </w:rPr>
        <w:t>024)”</w:t>
      </w:r>
      <w:r w:rsidR="003B63DD" w:rsidRPr="00A96EC2">
        <w:rPr>
          <w:rFonts w:ascii="Arial" w:hAnsi="Arial" w:cs="Arial"/>
          <w:b/>
          <w:bCs/>
          <w:sz w:val="20"/>
          <w:szCs w:val="20"/>
          <w:lang w:val="es-ES_tradnl"/>
        </w:rPr>
        <w:t xml:space="preserve">. </w:t>
      </w:r>
      <w:r w:rsidR="003B63DD">
        <w:rPr>
          <w:rFonts w:ascii="Arial" w:hAnsi="Arial" w:cs="Arial"/>
          <w:b/>
          <w:bCs/>
          <w:sz w:val="20"/>
          <w:szCs w:val="20"/>
          <w:lang w:val="es-ES_tradnl"/>
        </w:rPr>
        <w:t>Tasa Vial. Tasa de Protección Ambiental.</w:t>
      </w:r>
    </w:p>
    <w:p w14:paraId="51652713" w14:textId="77777777" w:rsidR="00CA48D3" w:rsidRDefault="00CA48D3" w:rsidP="00CA48D3">
      <w:pPr>
        <w:pStyle w:val="ListParagraph"/>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Se hace lugar a la demanda falta de prestación del servicio.</w:t>
      </w:r>
    </w:p>
    <w:p w14:paraId="6C65CC54" w14:textId="3098EFE0" w:rsidR="003B63DD" w:rsidRPr="00CA48D3" w:rsidRDefault="00CA48D3" w:rsidP="00CA48D3">
      <w:pPr>
        <w:pStyle w:val="ListParagraph"/>
        <w:snapToGrid w:val="0"/>
        <w:spacing w:after="240" w:line="360" w:lineRule="auto"/>
        <w:ind w:left="360"/>
        <w:jc w:val="both"/>
        <w:rPr>
          <w:rFonts w:ascii="Arial" w:hAnsi="Arial" w:cs="Arial"/>
          <w:sz w:val="20"/>
          <w:szCs w:val="20"/>
          <w:lang w:val="es-ES_tradnl"/>
        </w:rPr>
      </w:pPr>
      <w:r w:rsidRPr="00CA48D3">
        <w:rPr>
          <w:rFonts w:ascii="Arial" w:hAnsi="Arial" w:cs="Arial"/>
          <w:sz w:val="20"/>
          <w:szCs w:val="20"/>
          <w:lang w:val="es-ES_tradnl"/>
        </w:rPr>
        <w:t xml:space="preserve">En este andar si bien es cierto que no existe norma que establezca la periodicidad con la que deben prestarse los servicios por parte del órgano estatal, lo cierto y concreto es </w:t>
      </w:r>
      <w:proofErr w:type="gramStart"/>
      <w:r w:rsidRPr="00CA48D3">
        <w:rPr>
          <w:rFonts w:ascii="Arial" w:hAnsi="Arial" w:cs="Arial"/>
          <w:sz w:val="20"/>
          <w:szCs w:val="20"/>
          <w:lang w:val="es-ES_tradnl"/>
        </w:rPr>
        <w:t>que</w:t>
      </w:r>
      <w:proofErr w:type="gramEnd"/>
      <w:r w:rsidRPr="00CA48D3">
        <w:rPr>
          <w:rFonts w:ascii="Arial" w:hAnsi="Arial" w:cs="Arial"/>
          <w:sz w:val="20"/>
          <w:szCs w:val="20"/>
          <w:lang w:val="es-ES_tradnl"/>
        </w:rPr>
        <w:t xml:space="preserve"> al no haberse prestado el servicio en ninguno de los períodos ajustados, no se cumple con la periodicidad razonable</w:t>
      </w:r>
    </w:p>
    <w:p w14:paraId="76EC0294" w14:textId="77777777" w:rsidR="00CA48D3" w:rsidRDefault="00CA48D3" w:rsidP="00CA48D3">
      <w:pPr>
        <w:pStyle w:val="ListParagraph"/>
        <w:snapToGrid w:val="0"/>
        <w:spacing w:after="240" w:line="360" w:lineRule="auto"/>
        <w:ind w:left="360"/>
        <w:contextualSpacing w:val="0"/>
        <w:jc w:val="both"/>
        <w:rPr>
          <w:rFonts w:ascii="Arial" w:hAnsi="Arial" w:cs="Arial"/>
          <w:b/>
          <w:bCs/>
          <w:sz w:val="20"/>
          <w:szCs w:val="20"/>
          <w:lang w:val="es-ES_tradnl"/>
        </w:rPr>
      </w:pPr>
    </w:p>
    <w:p w14:paraId="09D8CCDE" w14:textId="274E0394" w:rsidR="001B775A" w:rsidRPr="00341ED4" w:rsidRDefault="001B775A" w:rsidP="001B775A">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w:t>
      </w:r>
      <w:r w:rsidR="00225892">
        <w:rPr>
          <w:rFonts w:ascii="Arial" w:hAnsi="Arial" w:cs="Arial"/>
          <w:b/>
          <w:bCs/>
          <w:sz w:val="20"/>
          <w:szCs w:val="20"/>
          <w:lang w:val="es-ES_tradnl"/>
        </w:rPr>
        <w:t>iscal de la Provincia de Buenos</w:t>
      </w:r>
      <w:r>
        <w:rPr>
          <w:rFonts w:ascii="Arial" w:hAnsi="Arial" w:cs="Arial"/>
          <w:b/>
          <w:bCs/>
          <w:sz w:val="20"/>
          <w:szCs w:val="20"/>
          <w:lang w:val="es-ES_tradnl"/>
        </w:rPr>
        <w:t xml:space="preserve">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00950772" w:rsidRPr="00950772">
        <w:rPr>
          <w:rFonts w:ascii="Arial" w:hAnsi="Arial" w:cs="Arial"/>
          <w:b/>
          <w:bCs/>
          <w:sz w:val="20"/>
          <w:szCs w:val="20"/>
          <w:lang w:val="es-ES_tradnl"/>
        </w:rPr>
        <w:t>NATIONAL SHIPPING S.A.</w:t>
      </w:r>
      <w:r w:rsidR="00382B25">
        <w:rPr>
          <w:rFonts w:ascii="Arial" w:hAnsi="Arial" w:cs="Arial"/>
          <w:b/>
          <w:bCs/>
          <w:i/>
          <w:iCs/>
          <w:sz w:val="20"/>
          <w:szCs w:val="20"/>
          <w:lang w:val="es-ES_tradnl"/>
        </w:rPr>
        <w:t>”</w:t>
      </w:r>
      <w:r w:rsidRPr="000E64D8">
        <w:rPr>
          <w:rFonts w:ascii="Arial" w:hAnsi="Arial" w:cs="Arial"/>
          <w:b/>
          <w:bCs/>
          <w:i/>
          <w:iCs/>
          <w:sz w:val="20"/>
          <w:szCs w:val="20"/>
          <w:lang w:val="es-ES_tradnl"/>
        </w:rPr>
        <w:t xml:space="preserve"> </w:t>
      </w:r>
      <w:r w:rsidRPr="00341ED4">
        <w:rPr>
          <w:rFonts w:ascii="Arial" w:hAnsi="Arial" w:cs="Arial"/>
          <w:b/>
          <w:bCs/>
          <w:i/>
          <w:iCs/>
          <w:sz w:val="20"/>
          <w:szCs w:val="20"/>
          <w:lang w:val="es-ES_tradnl"/>
        </w:rPr>
        <w:t>(</w:t>
      </w:r>
      <w:r w:rsidR="00950772">
        <w:rPr>
          <w:rFonts w:ascii="Arial" w:hAnsi="Arial" w:cs="Arial"/>
          <w:b/>
          <w:bCs/>
          <w:i/>
          <w:iCs/>
          <w:sz w:val="20"/>
          <w:szCs w:val="20"/>
          <w:lang w:val="es-ES_tradnl"/>
        </w:rPr>
        <w:t>04</w:t>
      </w:r>
      <w:r w:rsidRPr="00341ED4">
        <w:rPr>
          <w:rFonts w:ascii="Arial" w:hAnsi="Arial" w:cs="Arial"/>
          <w:b/>
          <w:bCs/>
          <w:i/>
          <w:iCs/>
          <w:sz w:val="20"/>
          <w:szCs w:val="20"/>
          <w:lang w:val="es-ES_tradnl"/>
        </w:rPr>
        <w:t>/0</w:t>
      </w:r>
      <w:r w:rsidR="00950772">
        <w:rPr>
          <w:rFonts w:ascii="Arial" w:hAnsi="Arial" w:cs="Arial"/>
          <w:b/>
          <w:bCs/>
          <w:i/>
          <w:iCs/>
          <w:sz w:val="20"/>
          <w:szCs w:val="20"/>
          <w:lang w:val="es-ES_tradnl"/>
        </w:rPr>
        <w:t>6/</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sidR="00532839">
        <w:rPr>
          <w:rFonts w:ascii="Arial" w:hAnsi="Arial" w:cs="Arial"/>
          <w:b/>
          <w:bCs/>
          <w:sz w:val="20"/>
          <w:szCs w:val="20"/>
          <w:lang w:val="es-ES_tradnl"/>
        </w:rPr>
        <w:t xml:space="preserve"> Impuesto sobre los Ingresos Brutos.</w:t>
      </w:r>
      <w:r w:rsidR="008E073E">
        <w:rPr>
          <w:rFonts w:ascii="Arial" w:hAnsi="Arial" w:cs="Arial"/>
          <w:b/>
          <w:bCs/>
          <w:sz w:val="20"/>
          <w:szCs w:val="20"/>
          <w:lang w:val="es-ES_tradnl"/>
        </w:rPr>
        <w:t xml:space="preserve"> Prescripción. Reintegro de gastos.</w:t>
      </w:r>
      <w:r w:rsidR="00A84F31">
        <w:rPr>
          <w:rFonts w:ascii="Arial" w:hAnsi="Arial" w:cs="Arial"/>
          <w:b/>
          <w:bCs/>
          <w:sz w:val="20"/>
          <w:szCs w:val="20"/>
          <w:lang w:val="es-ES_tradnl"/>
        </w:rPr>
        <w:t xml:space="preserve"> Responsabilidad solidaria.</w:t>
      </w:r>
    </w:p>
    <w:p w14:paraId="14D38C8A" w14:textId="08442D44" w:rsidR="00C679BC" w:rsidRDefault="00F30421"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lastRenderedPageBreak/>
        <w:t xml:space="preserve">Rechazo </w:t>
      </w:r>
      <w:r w:rsidR="005D41BA">
        <w:rPr>
          <w:rFonts w:ascii="Arial" w:hAnsi="Arial" w:cs="Arial"/>
          <w:sz w:val="20"/>
          <w:szCs w:val="20"/>
          <w:lang w:val="es-ES_tradnl"/>
        </w:rPr>
        <w:t xml:space="preserve">de la prescripción liberatoria del tributo. Suspensión del plazo de la prescripción por la notificación de la prevista. </w:t>
      </w:r>
      <w:r w:rsidR="0030556E">
        <w:rPr>
          <w:rFonts w:ascii="Arial" w:hAnsi="Arial" w:cs="Arial"/>
          <w:sz w:val="20"/>
          <w:szCs w:val="20"/>
          <w:lang w:val="es-ES_tradnl"/>
        </w:rPr>
        <w:t>Prescripción</w:t>
      </w:r>
      <w:r w:rsidR="00806224">
        <w:rPr>
          <w:rFonts w:ascii="Arial" w:hAnsi="Arial" w:cs="Arial"/>
          <w:sz w:val="20"/>
          <w:szCs w:val="20"/>
          <w:lang w:val="es-ES_tradnl"/>
        </w:rPr>
        <w:t xml:space="preserve"> de multas</w:t>
      </w:r>
      <w:r w:rsidR="0030556E">
        <w:rPr>
          <w:rFonts w:ascii="Arial" w:hAnsi="Arial" w:cs="Arial"/>
          <w:sz w:val="20"/>
          <w:szCs w:val="20"/>
          <w:lang w:val="es-ES_tradnl"/>
        </w:rPr>
        <w:t xml:space="preserve"> y recargos. Aplicación de la jurisprudencia “Alpha </w:t>
      </w:r>
      <w:proofErr w:type="spellStart"/>
      <w:r w:rsidR="0030556E">
        <w:rPr>
          <w:rFonts w:ascii="Arial" w:hAnsi="Arial" w:cs="Arial"/>
          <w:sz w:val="20"/>
          <w:szCs w:val="20"/>
          <w:lang w:val="es-ES_tradnl"/>
        </w:rPr>
        <w:t>Shipping</w:t>
      </w:r>
      <w:proofErr w:type="spellEnd"/>
      <w:r w:rsidR="0030556E">
        <w:rPr>
          <w:rFonts w:ascii="Arial" w:hAnsi="Arial" w:cs="Arial"/>
          <w:sz w:val="20"/>
          <w:szCs w:val="20"/>
          <w:lang w:val="es-ES_tradnl"/>
        </w:rPr>
        <w:t>”.</w:t>
      </w:r>
      <w:r w:rsidR="00992D53">
        <w:rPr>
          <w:rFonts w:ascii="Arial" w:hAnsi="Arial" w:cs="Arial"/>
          <w:sz w:val="20"/>
          <w:szCs w:val="20"/>
          <w:lang w:val="es-ES_tradnl"/>
        </w:rPr>
        <w:t xml:space="preserve"> </w:t>
      </w:r>
    </w:p>
    <w:p w14:paraId="17C72CE0" w14:textId="626ADF2C" w:rsidR="00ED4A59" w:rsidRDefault="00ED4A59" w:rsidP="00252A25">
      <w:pPr>
        <w:snapToGrid w:val="0"/>
        <w:spacing w:after="240" w:line="360" w:lineRule="auto"/>
        <w:ind w:left="360"/>
        <w:jc w:val="both"/>
        <w:rPr>
          <w:rFonts w:ascii="Arial" w:hAnsi="Arial" w:cs="Arial"/>
          <w:sz w:val="20"/>
          <w:szCs w:val="20"/>
          <w:lang w:val="es-ES_tradnl"/>
        </w:rPr>
      </w:pPr>
      <w:proofErr w:type="gramStart"/>
      <w:r>
        <w:rPr>
          <w:rFonts w:ascii="Arial" w:hAnsi="Arial" w:cs="Arial"/>
          <w:sz w:val="20"/>
          <w:szCs w:val="20"/>
          <w:lang w:val="es-ES_tradnl"/>
        </w:rPr>
        <w:t>En relación al</w:t>
      </w:r>
      <w:proofErr w:type="gramEnd"/>
      <w:r>
        <w:rPr>
          <w:rFonts w:ascii="Arial" w:hAnsi="Arial" w:cs="Arial"/>
          <w:sz w:val="20"/>
          <w:szCs w:val="20"/>
          <w:lang w:val="es-ES_tradnl"/>
        </w:rPr>
        <w:t xml:space="preserve"> ajuste de reintegro de gastos</w:t>
      </w:r>
      <w:r w:rsidR="00252A25">
        <w:rPr>
          <w:rFonts w:ascii="Arial" w:hAnsi="Arial" w:cs="Arial"/>
          <w:sz w:val="20"/>
          <w:szCs w:val="20"/>
          <w:lang w:val="es-ES_tradnl"/>
        </w:rPr>
        <w:t>. L</w:t>
      </w:r>
      <w:r w:rsidR="00252A25" w:rsidRPr="00252A25">
        <w:rPr>
          <w:rFonts w:ascii="Arial" w:hAnsi="Arial" w:cs="Arial"/>
          <w:sz w:val="20"/>
          <w:szCs w:val="20"/>
          <w:lang w:val="es-ES_tradnl"/>
        </w:rPr>
        <w:t>os aludidos “recupero de gastos”, tienen que responder al concepto</w:t>
      </w:r>
      <w:r w:rsidR="00252A25">
        <w:rPr>
          <w:rFonts w:ascii="Arial" w:hAnsi="Arial" w:cs="Arial"/>
          <w:sz w:val="20"/>
          <w:szCs w:val="20"/>
          <w:lang w:val="es-ES_tradnl"/>
        </w:rPr>
        <w:t xml:space="preserve"> </w:t>
      </w:r>
      <w:r w:rsidR="00252A25" w:rsidRPr="00252A25">
        <w:rPr>
          <w:rFonts w:ascii="Arial" w:hAnsi="Arial" w:cs="Arial"/>
          <w:sz w:val="20"/>
          <w:szCs w:val="20"/>
          <w:lang w:val="es-ES_tradnl"/>
        </w:rPr>
        <w:t>de gastos efectuados por cuenta y orden de terceros, en la operación de</w:t>
      </w:r>
      <w:r w:rsidR="00252A25">
        <w:rPr>
          <w:rFonts w:ascii="Arial" w:hAnsi="Arial" w:cs="Arial"/>
          <w:sz w:val="20"/>
          <w:szCs w:val="20"/>
          <w:lang w:val="es-ES_tradnl"/>
        </w:rPr>
        <w:t xml:space="preserve"> </w:t>
      </w:r>
      <w:r w:rsidR="00252A25" w:rsidRPr="00252A25">
        <w:rPr>
          <w:rFonts w:ascii="Arial" w:hAnsi="Arial" w:cs="Arial"/>
          <w:sz w:val="20"/>
          <w:szCs w:val="20"/>
          <w:lang w:val="es-ES_tradnl"/>
        </w:rPr>
        <w:t>intermediación en las que se actúe, y ellos deben corresponderse en concepto de</w:t>
      </w:r>
      <w:r w:rsidR="00252A25">
        <w:rPr>
          <w:rFonts w:ascii="Arial" w:hAnsi="Arial" w:cs="Arial"/>
          <w:sz w:val="20"/>
          <w:szCs w:val="20"/>
          <w:lang w:val="es-ES_tradnl"/>
        </w:rPr>
        <w:t xml:space="preserve"> </w:t>
      </w:r>
      <w:r w:rsidR="00252A25" w:rsidRPr="00252A25">
        <w:rPr>
          <w:rFonts w:ascii="Arial" w:hAnsi="Arial" w:cs="Arial"/>
          <w:sz w:val="20"/>
          <w:szCs w:val="20"/>
          <w:lang w:val="es-ES_tradnl"/>
        </w:rPr>
        <w:t>importe con los gastos que efectivamente haya realizado la mandataria por cuenta y</w:t>
      </w:r>
      <w:r w:rsidR="00252A25">
        <w:rPr>
          <w:rFonts w:ascii="Arial" w:hAnsi="Arial" w:cs="Arial"/>
          <w:sz w:val="20"/>
          <w:szCs w:val="20"/>
          <w:lang w:val="es-ES_tradnl"/>
        </w:rPr>
        <w:t xml:space="preserve"> </w:t>
      </w:r>
      <w:r w:rsidR="00252A25" w:rsidRPr="00252A25">
        <w:rPr>
          <w:rFonts w:ascii="Arial" w:hAnsi="Arial" w:cs="Arial"/>
          <w:sz w:val="20"/>
          <w:szCs w:val="20"/>
          <w:lang w:val="es-ES_tradnl"/>
        </w:rPr>
        <w:t>orden del tercero</w:t>
      </w:r>
      <w:r w:rsidR="00252A25">
        <w:rPr>
          <w:rFonts w:ascii="Arial" w:hAnsi="Arial" w:cs="Arial"/>
          <w:sz w:val="20"/>
          <w:szCs w:val="20"/>
          <w:lang w:val="es-ES_tradnl"/>
        </w:rPr>
        <w:t>.</w:t>
      </w:r>
      <w:r w:rsidR="00554519">
        <w:rPr>
          <w:rFonts w:ascii="Arial" w:hAnsi="Arial" w:cs="Arial"/>
          <w:sz w:val="20"/>
          <w:szCs w:val="20"/>
          <w:lang w:val="es-ES_tradnl"/>
        </w:rPr>
        <w:t xml:space="preserve"> Cuestión de hecho y prueba.</w:t>
      </w:r>
    </w:p>
    <w:p w14:paraId="0D6AB84B" w14:textId="3F5381EB" w:rsidR="00297B69" w:rsidRDefault="00A84F31" w:rsidP="00252A25">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Por mayoría se confirma la responsabilidad solidaria del director.</w:t>
      </w:r>
    </w:p>
    <w:p w14:paraId="6BD2A046" w14:textId="77777777" w:rsidR="002C30ED" w:rsidRDefault="002C30ED" w:rsidP="00115ECD">
      <w:pPr>
        <w:snapToGrid w:val="0"/>
        <w:spacing w:after="240" w:line="360" w:lineRule="auto"/>
        <w:ind w:left="360"/>
        <w:jc w:val="both"/>
        <w:rPr>
          <w:rFonts w:ascii="Arial" w:hAnsi="Arial" w:cs="Arial"/>
          <w:sz w:val="20"/>
          <w:szCs w:val="20"/>
          <w:lang w:val="es-ES_tradnl"/>
        </w:rPr>
      </w:pPr>
    </w:p>
    <w:p w14:paraId="62D493C5" w14:textId="4E5BA0B5" w:rsidR="003B5DA6" w:rsidRPr="00341ED4" w:rsidRDefault="003B5DA6" w:rsidP="003B5DA6">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Fiscal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00350EA9" w:rsidRPr="00350EA9">
        <w:rPr>
          <w:rFonts w:ascii="Arial" w:hAnsi="Arial" w:cs="Arial"/>
          <w:b/>
          <w:bCs/>
          <w:sz w:val="20"/>
          <w:szCs w:val="20"/>
          <w:lang w:val="es-ES_tradnl"/>
        </w:rPr>
        <w:t>DISTRIBUIDORA BERASIAN SRL</w:t>
      </w:r>
      <w:r w:rsidR="00E733AA">
        <w:rPr>
          <w:rFonts w:ascii="Arial" w:hAnsi="Arial" w:cs="Arial"/>
          <w:b/>
          <w:bCs/>
          <w:sz w:val="20"/>
          <w:szCs w:val="20"/>
          <w:lang w:val="es-ES_tradnl"/>
        </w:rPr>
        <w:t>”</w:t>
      </w:r>
      <w:r w:rsidR="00D41208">
        <w:rPr>
          <w:rFonts w:ascii="Arial" w:hAnsi="Arial" w:cs="Arial"/>
          <w:b/>
          <w:bCs/>
          <w:sz w:val="20"/>
          <w:szCs w:val="20"/>
          <w:lang w:val="es-ES_tradnl"/>
        </w:rPr>
        <w:t xml:space="preserve"> </w:t>
      </w:r>
      <w:r w:rsidRPr="00341ED4">
        <w:rPr>
          <w:rFonts w:ascii="Arial" w:hAnsi="Arial" w:cs="Arial"/>
          <w:b/>
          <w:bCs/>
          <w:i/>
          <w:iCs/>
          <w:sz w:val="20"/>
          <w:szCs w:val="20"/>
          <w:lang w:val="es-ES_tradnl"/>
        </w:rPr>
        <w:t>(</w:t>
      </w:r>
      <w:r w:rsidR="00350EA9">
        <w:rPr>
          <w:rFonts w:ascii="Arial" w:hAnsi="Arial" w:cs="Arial"/>
          <w:b/>
          <w:bCs/>
          <w:i/>
          <w:iCs/>
          <w:sz w:val="20"/>
          <w:szCs w:val="20"/>
          <w:lang w:val="es-ES_tradnl"/>
        </w:rPr>
        <w:t>04</w:t>
      </w:r>
      <w:r w:rsidRPr="00341ED4">
        <w:rPr>
          <w:rFonts w:ascii="Arial" w:hAnsi="Arial" w:cs="Arial"/>
          <w:b/>
          <w:bCs/>
          <w:i/>
          <w:iCs/>
          <w:sz w:val="20"/>
          <w:szCs w:val="20"/>
          <w:lang w:val="es-ES_tradnl"/>
        </w:rPr>
        <w:t>/0</w:t>
      </w:r>
      <w:r w:rsidR="00350EA9">
        <w:rPr>
          <w:rFonts w:ascii="Arial" w:hAnsi="Arial" w:cs="Arial"/>
          <w:b/>
          <w:bCs/>
          <w:i/>
          <w:iCs/>
          <w:sz w:val="20"/>
          <w:szCs w:val="20"/>
          <w:lang w:val="es-ES_tradnl"/>
        </w:rPr>
        <w:t>6</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Pr>
          <w:rFonts w:ascii="Arial" w:hAnsi="Arial" w:cs="Arial"/>
          <w:b/>
          <w:bCs/>
          <w:sz w:val="20"/>
          <w:szCs w:val="20"/>
          <w:lang w:val="es-ES_tradnl"/>
        </w:rPr>
        <w:t xml:space="preserve"> </w:t>
      </w:r>
      <w:r w:rsidR="0059686D">
        <w:rPr>
          <w:rFonts w:ascii="Arial" w:hAnsi="Arial" w:cs="Arial"/>
          <w:b/>
          <w:bCs/>
          <w:sz w:val="20"/>
          <w:szCs w:val="20"/>
          <w:lang w:val="es-ES_tradnl"/>
        </w:rPr>
        <w:t xml:space="preserve">Régimen de percepción del </w:t>
      </w:r>
      <w:r>
        <w:rPr>
          <w:rFonts w:ascii="Arial" w:hAnsi="Arial" w:cs="Arial"/>
          <w:b/>
          <w:bCs/>
          <w:sz w:val="20"/>
          <w:szCs w:val="20"/>
          <w:lang w:val="es-ES_tradnl"/>
        </w:rPr>
        <w:t>Impuesto sobre los Ingresos Brutos.</w:t>
      </w:r>
      <w:r w:rsidR="0059686D">
        <w:rPr>
          <w:rFonts w:ascii="Arial" w:hAnsi="Arial" w:cs="Arial"/>
          <w:b/>
          <w:bCs/>
          <w:sz w:val="20"/>
          <w:szCs w:val="20"/>
          <w:lang w:val="es-ES_tradnl"/>
        </w:rPr>
        <w:t xml:space="preserve">  </w:t>
      </w:r>
    </w:p>
    <w:p w14:paraId="7681CFC4" w14:textId="62FFEF80" w:rsidR="002C30ED" w:rsidRDefault="00F84F86"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Rechazo de la prescripción liberatoria. </w:t>
      </w:r>
      <w:r w:rsidR="002C708C">
        <w:rPr>
          <w:rFonts w:ascii="Arial" w:hAnsi="Arial" w:cs="Arial"/>
          <w:sz w:val="20"/>
          <w:szCs w:val="20"/>
          <w:lang w:val="es-ES_tradnl"/>
        </w:rPr>
        <w:t>Aplicación del plazo decenal (remisión a la causa “Fisco de la Provincia de Bs. As. c/</w:t>
      </w:r>
      <w:proofErr w:type="spellStart"/>
      <w:r w:rsidR="002C708C">
        <w:rPr>
          <w:rFonts w:ascii="Arial" w:hAnsi="Arial" w:cs="Arial"/>
          <w:sz w:val="20"/>
          <w:szCs w:val="20"/>
          <w:lang w:val="es-ES_tradnl"/>
        </w:rPr>
        <w:t>Mareque</w:t>
      </w:r>
      <w:proofErr w:type="spellEnd"/>
      <w:r w:rsidR="002C708C">
        <w:rPr>
          <w:rFonts w:ascii="Arial" w:hAnsi="Arial" w:cs="Arial"/>
          <w:sz w:val="20"/>
          <w:szCs w:val="20"/>
          <w:lang w:val="es-ES_tradnl"/>
        </w:rPr>
        <w:t xml:space="preserve"> Jesús” de la CCALP</w:t>
      </w:r>
      <w:r w:rsidR="002F71B9">
        <w:rPr>
          <w:rFonts w:ascii="Arial" w:hAnsi="Arial" w:cs="Arial"/>
          <w:sz w:val="20"/>
          <w:szCs w:val="20"/>
          <w:lang w:val="es-ES_tradnl"/>
        </w:rPr>
        <w:t xml:space="preserve">. </w:t>
      </w:r>
      <w:r w:rsidR="002A4AC1">
        <w:rPr>
          <w:rFonts w:ascii="Arial" w:hAnsi="Arial" w:cs="Arial"/>
          <w:sz w:val="20"/>
          <w:szCs w:val="20"/>
          <w:lang w:val="es-ES_tradnl"/>
        </w:rPr>
        <w:t>Convenio Mul</w:t>
      </w:r>
      <w:r w:rsidR="00B5582B">
        <w:rPr>
          <w:rFonts w:ascii="Arial" w:hAnsi="Arial" w:cs="Arial"/>
          <w:sz w:val="20"/>
          <w:szCs w:val="20"/>
          <w:lang w:val="es-ES_tradnl"/>
        </w:rPr>
        <w:t>tilateral. Distribución de base imponible en función de las sucursales.</w:t>
      </w:r>
      <w:r w:rsidR="00D269B6">
        <w:rPr>
          <w:rFonts w:ascii="Arial" w:hAnsi="Arial" w:cs="Arial"/>
          <w:sz w:val="20"/>
          <w:szCs w:val="20"/>
          <w:lang w:val="es-ES_tradnl"/>
        </w:rPr>
        <w:t xml:space="preserve"> Se hace lugar parcialmente al recurso de apelación.</w:t>
      </w:r>
    </w:p>
    <w:p w14:paraId="1F1CD4D2" w14:textId="0E5FB446" w:rsidR="00312958" w:rsidRDefault="00312958"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E</w:t>
      </w:r>
      <w:r w:rsidRPr="00312958">
        <w:rPr>
          <w:rFonts w:ascii="Arial" w:hAnsi="Arial" w:cs="Arial"/>
          <w:sz w:val="20"/>
          <w:szCs w:val="20"/>
          <w:lang w:val="es-ES_tradnl"/>
        </w:rPr>
        <w:t xml:space="preserve">n tanto el sujeto pasible de recaudación no cuente con un certificado de exclusión válido expedido por la Administración que lo libere de la recaudación, se comprende que el agente debe practicar la percepción correspondiente, aplicando sobre el monto de la operación -determinado conforme el artículo 342 de la Disposición Normativa </w:t>
      </w:r>
      <w:proofErr w:type="spellStart"/>
      <w:r w:rsidRPr="00312958">
        <w:rPr>
          <w:rFonts w:ascii="Arial" w:hAnsi="Arial" w:cs="Arial"/>
          <w:sz w:val="20"/>
          <w:szCs w:val="20"/>
          <w:lang w:val="es-ES_tradnl"/>
        </w:rPr>
        <w:t>N°</w:t>
      </w:r>
      <w:proofErr w:type="spellEnd"/>
      <w:r w:rsidRPr="00312958">
        <w:rPr>
          <w:rFonts w:ascii="Arial" w:hAnsi="Arial" w:cs="Arial"/>
          <w:sz w:val="20"/>
          <w:szCs w:val="20"/>
          <w:lang w:val="es-ES_tradnl"/>
        </w:rPr>
        <w:t xml:space="preserve"> 1/2004 en estudio-, la alícuota que para el sujeto de que se trata prevea el padrón suministrado por la Autoridad de Aplicación.</w:t>
      </w:r>
    </w:p>
    <w:p w14:paraId="16B28D99" w14:textId="1C730380" w:rsidR="002C30ED" w:rsidRDefault="00D00F9A" w:rsidP="00115ECD">
      <w:pPr>
        <w:snapToGrid w:val="0"/>
        <w:spacing w:after="240" w:line="360" w:lineRule="auto"/>
        <w:ind w:left="360"/>
        <w:jc w:val="both"/>
        <w:rPr>
          <w:rFonts w:ascii="Arial" w:hAnsi="Arial" w:cs="Arial"/>
          <w:sz w:val="20"/>
          <w:szCs w:val="20"/>
          <w:lang w:val="es-ES_tradnl"/>
        </w:rPr>
      </w:pPr>
      <w:r w:rsidRPr="00D00F9A">
        <w:rPr>
          <w:rFonts w:ascii="Arial" w:hAnsi="Arial" w:cs="Arial"/>
          <w:sz w:val="20"/>
          <w:szCs w:val="20"/>
          <w:lang w:val="es-ES_tradnl"/>
        </w:rPr>
        <w:t>El hecho de que por una cuestión de operatoria comercial, tanto la tabacalera o importadora como los distintos intermediarios en la cadena de comercialización de cigarrillos, discriminen impuestos internos en sus facturas, a los efectos de poder detraer este concepto de la base imponible del cálculo del Impuesto al Valor Agregado (conforme Decreto 692/98 art. 44), no los habilita a detraerlo de la base de cálculo de la percepción por cuanto en la única etapa en la cual incide, tal como lo expresa la propia Ley 24.674 en su artículo 2°, es en la primer transferencia la cual se produce con la venta de los cigarrillos de la tabacalera a DISTRIBUIDORA BERASAIN S.R.L</w:t>
      </w:r>
      <w:r>
        <w:rPr>
          <w:rFonts w:ascii="Arial" w:hAnsi="Arial" w:cs="Arial"/>
          <w:sz w:val="20"/>
          <w:szCs w:val="20"/>
          <w:lang w:val="es-ES_tradnl"/>
        </w:rPr>
        <w:t>.</w:t>
      </w:r>
    </w:p>
    <w:p w14:paraId="30BC5D72" w14:textId="0A994702" w:rsidR="00D00F9A" w:rsidRDefault="00081323"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S</w:t>
      </w:r>
      <w:r w:rsidRPr="00081323">
        <w:rPr>
          <w:rFonts w:ascii="Arial" w:hAnsi="Arial" w:cs="Arial"/>
          <w:sz w:val="20"/>
          <w:szCs w:val="20"/>
          <w:lang w:val="es-ES_tradnl"/>
        </w:rPr>
        <w:t>e entiende procedente liberar de responsabilidad al apelante, por el pago de las percepciones que se constataron omitidas con respecto a los clientes que declararon y/o abonaron el impuesto (total o parcialmente)</w:t>
      </w:r>
      <w:r w:rsidR="0079720C">
        <w:rPr>
          <w:rFonts w:ascii="Arial" w:hAnsi="Arial" w:cs="Arial"/>
          <w:sz w:val="20"/>
          <w:szCs w:val="20"/>
          <w:lang w:val="es-ES_tradnl"/>
        </w:rPr>
        <w:t>.</w:t>
      </w:r>
    </w:p>
    <w:p w14:paraId="524F1307" w14:textId="77777777" w:rsidR="0079720C" w:rsidRDefault="0079720C" w:rsidP="00115ECD">
      <w:pPr>
        <w:snapToGrid w:val="0"/>
        <w:spacing w:after="240" w:line="360" w:lineRule="auto"/>
        <w:ind w:left="360"/>
        <w:jc w:val="both"/>
        <w:rPr>
          <w:rFonts w:ascii="Arial" w:hAnsi="Arial" w:cs="Arial"/>
          <w:sz w:val="20"/>
          <w:szCs w:val="20"/>
          <w:lang w:val="es-ES_tradnl"/>
        </w:rPr>
      </w:pPr>
    </w:p>
    <w:p w14:paraId="2D97FD96" w14:textId="0A3BDA07" w:rsidR="003B1D95" w:rsidRPr="00341ED4" w:rsidRDefault="003B1D95" w:rsidP="003B1D95">
      <w:pPr>
        <w:pStyle w:val="ListParagraph"/>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lastRenderedPageBreak/>
        <w:t>Tribunal Fiscal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008A2C93" w:rsidRPr="008A2C93">
        <w:rPr>
          <w:rFonts w:ascii="Arial" w:hAnsi="Arial" w:cs="Arial"/>
          <w:b/>
          <w:bCs/>
          <w:sz w:val="20"/>
          <w:szCs w:val="20"/>
          <w:lang w:val="es-ES_tradnl"/>
        </w:rPr>
        <w:t>SUPERMERCADOS MAYORISTAS YAGUAR</w:t>
      </w:r>
      <w:r>
        <w:rPr>
          <w:rFonts w:ascii="Arial" w:hAnsi="Arial" w:cs="Arial"/>
          <w:b/>
          <w:bCs/>
          <w:sz w:val="20"/>
          <w:szCs w:val="20"/>
          <w:lang w:val="es-ES_tradnl"/>
        </w:rPr>
        <w:t xml:space="preserve">” </w:t>
      </w:r>
      <w:r w:rsidRPr="00341ED4">
        <w:rPr>
          <w:rFonts w:ascii="Arial" w:hAnsi="Arial" w:cs="Arial"/>
          <w:b/>
          <w:bCs/>
          <w:i/>
          <w:iCs/>
          <w:sz w:val="20"/>
          <w:szCs w:val="20"/>
          <w:lang w:val="es-ES_tradnl"/>
        </w:rPr>
        <w:t>(</w:t>
      </w:r>
      <w:r w:rsidR="008A2C93">
        <w:rPr>
          <w:rFonts w:ascii="Arial" w:hAnsi="Arial" w:cs="Arial"/>
          <w:b/>
          <w:bCs/>
          <w:i/>
          <w:iCs/>
          <w:sz w:val="20"/>
          <w:szCs w:val="20"/>
          <w:lang w:val="es-ES_tradnl"/>
        </w:rPr>
        <w:t>06/06/2024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Pr>
          <w:rFonts w:ascii="Arial" w:hAnsi="Arial" w:cs="Arial"/>
          <w:b/>
          <w:bCs/>
          <w:sz w:val="20"/>
          <w:szCs w:val="20"/>
          <w:lang w:val="es-ES_tradnl"/>
        </w:rPr>
        <w:t xml:space="preserve"> Impuesto sobre los Ingresos Brutos.</w:t>
      </w:r>
      <w:r w:rsidR="009B2624">
        <w:rPr>
          <w:rFonts w:ascii="Arial" w:hAnsi="Arial" w:cs="Arial"/>
          <w:b/>
          <w:bCs/>
          <w:sz w:val="20"/>
          <w:szCs w:val="20"/>
          <w:lang w:val="es-ES_tradnl"/>
        </w:rPr>
        <w:t xml:space="preserve"> </w:t>
      </w:r>
      <w:r w:rsidR="000E064E">
        <w:rPr>
          <w:rFonts w:ascii="Arial" w:hAnsi="Arial" w:cs="Arial"/>
          <w:b/>
          <w:bCs/>
          <w:sz w:val="20"/>
          <w:szCs w:val="20"/>
          <w:lang w:val="es-ES_tradnl"/>
        </w:rPr>
        <w:t>Multa</w:t>
      </w:r>
      <w:r w:rsidR="00213D56">
        <w:rPr>
          <w:rFonts w:ascii="Arial" w:hAnsi="Arial" w:cs="Arial"/>
          <w:b/>
          <w:bCs/>
          <w:sz w:val="20"/>
          <w:szCs w:val="20"/>
          <w:lang w:val="es-ES_tradnl"/>
        </w:rPr>
        <w:t>.</w:t>
      </w:r>
      <w:r w:rsidR="009B2624">
        <w:rPr>
          <w:rFonts w:ascii="Arial" w:hAnsi="Arial" w:cs="Arial"/>
          <w:b/>
          <w:bCs/>
          <w:sz w:val="20"/>
          <w:szCs w:val="20"/>
          <w:lang w:val="es-ES_tradnl"/>
        </w:rPr>
        <w:t xml:space="preserve"> </w:t>
      </w:r>
    </w:p>
    <w:p w14:paraId="3AE81BD7" w14:textId="2009A02F" w:rsidR="003B1D95" w:rsidRDefault="000E064E" w:rsidP="003B1D95">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Prescripción de las facultades para aplicar sanciones.</w:t>
      </w:r>
    </w:p>
    <w:p w14:paraId="113132E5" w14:textId="77777777" w:rsidR="00D1139D" w:rsidRDefault="00D1139D" w:rsidP="00D1139D">
      <w:pPr>
        <w:snapToGrid w:val="0"/>
        <w:spacing w:after="240" w:line="360" w:lineRule="auto"/>
        <w:ind w:left="360"/>
        <w:jc w:val="both"/>
        <w:rPr>
          <w:rFonts w:ascii="Arial" w:hAnsi="Arial" w:cs="Arial"/>
          <w:sz w:val="20"/>
          <w:szCs w:val="20"/>
          <w:lang w:val="es-ES_tradnl"/>
        </w:rPr>
      </w:pPr>
    </w:p>
    <w:p w14:paraId="39B1FFDD" w14:textId="68641BF1" w:rsidR="00115ECD" w:rsidRDefault="00115ECD" w:rsidP="00115ECD">
      <w:pPr>
        <w:snapToGrid w:val="0"/>
        <w:spacing w:after="240" w:line="360" w:lineRule="auto"/>
        <w:jc w:val="both"/>
        <w:rPr>
          <w:rFonts w:ascii="Arial" w:hAnsi="Arial" w:cs="Arial"/>
          <w:b/>
          <w:bCs/>
          <w:sz w:val="20"/>
          <w:szCs w:val="20"/>
          <w:u w:val="single"/>
          <w:lang w:val="es-ES_tradnl"/>
        </w:rPr>
      </w:pPr>
      <w:r>
        <w:rPr>
          <w:rFonts w:ascii="Arial" w:hAnsi="Arial" w:cs="Arial"/>
          <w:b/>
          <w:bCs/>
          <w:sz w:val="20"/>
          <w:szCs w:val="20"/>
          <w:u w:val="single"/>
          <w:lang w:val="es-ES_tradnl"/>
        </w:rPr>
        <w:t>SOLUCIONES DE LOS ORGANISMOS DE APLICACIÓN DEL CONVENIO MULTILATERAL</w:t>
      </w:r>
    </w:p>
    <w:p w14:paraId="5AE6ACE7" w14:textId="51BF631B" w:rsidR="00544F1F" w:rsidRPr="002F624D" w:rsidRDefault="00544F1F" w:rsidP="00CB199B">
      <w:pPr>
        <w:pStyle w:val="ListParagraph"/>
        <w:numPr>
          <w:ilvl w:val="0"/>
          <w:numId w:val="1"/>
        </w:numPr>
        <w:snapToGrid w:val="0"/>
        <w:spacing w:after="240" w:line="360" w:lineRule="auto"/>
        <w:contextualSpacing w:val="0"/>
        <w:jc w:val="both"/>
        <w:rPr>
          <w:rFonts w:ascii="Arial" w:hAnsi="Arial" w:cs="Arial"/>
          <w:sz w:val="20"/>
          <w:szCs w:val="20"/>
          <w:lang w:val="es-ES_tradnl"/>
        </w:rPr>
      </w:pPr>
      <w:r w:rsidRPr="000D6017">
        <w:rPr>
          <w:rFonts w:ascii="Arial" w:hAnsi="Arial" w:cs="Arial"/>
          <w:b/>
          <w:bCs/>
          <w:sz w:val="20"/>
          <w:szCs w:val="20"/>
          <w:lang w:val="es-ES_tradnl"/>
        </w:rPr>
        <w:t>R. (C</w:t>
      </w:r>
      <w:r w:rsidR="004A7A5F" w:rsidRPr="000D6017">
        <w:rPr>
          <w:rFonts w:ascii="Arial" w:hAnsi="Arial" w:cs="Arial"/>
          <w:b/>
          <w:bCs/>
          <w:sz w:val="20"/>
          <w:szCs w:val="20"/>
          <w:lang w:val="es-ES_tradnl"/>
        </w:rPr>
        <w:t>A</w:t>
      </w:r>
      <w:r w:rsidRPr="000D6017">
        <w:rPr>
          <w:rFonts w:ascii="Arial" w:hAnsi="Arial" w:cs="Arial"/>
          <w:b/>
          <w:bCs/>
          <w:sz w:val="20"/>
          <w:szCs w:val="20"/>
          <w:lang w:val="es-ES_tradnl"/>
        </w:rPr>
        <w:t xml:space="preserve">) </w:t>
      </w:r>
      <w:r w:rsidR="004A7A5F" w:rsidRPr="000D6017">
        <w:rPr>
          <w:rFonts w:ascii="Arial" w:hAnsi="Arial" w:cs="Arial"/>
          <w:b/>
          <w:bCs/>
          <w:sz w:val="20"/>
          <w:szCs w:val="20"/>
          <w:lang w:val="es-ES_tradnl"/>
        </w:rPr>
        <w:t>12</w:t>
      </w:r>
      <w:r w:rsidRPr="000D6017">
        <w:rPr>
          <w:rFonts w:ascii="Arial" w:hAnsi="Arial" w:cs="Arial"/>
          <w:b/>
          <w:bCs/>
          <w:sz w:val="20"/>
          <w:szCs w:val="20"/>
          <w:lang w:val="es-ES_tradnl"/>
        </w:rPr>
        <w:t>/202</w:t>
      </w:r>
      <w:r w:rsidR="00B9144D" w:rsidRPr="000D6017">
        <w:rPr>
          <w:rFonts w:ascii="Arial" w:hAnsi="Arial" w:cs="Arial"/>
          <w:b/>
          <w:bCs/>
          <w:sz w:val="20"/>
          <w:szCs w:val="20"/>
          <w:lang w:val="es-ES_tradnl"/>
        </w:rPr>
        <w:t>4</w:t>
      </w:r>
      <w:r w:rsidRPr="000D6017">
        <w:rPr>
          <w:rFonts w:ascii="Arial" w:hAnsi="Arial" w:cs="Arial"/>
          <w:b/>
          <w:bCs/>
          <w:sz w:val="20"/>
          <w:szCs w:val="20"/>
          <w:lang w:val="es-ES_tradnl"/>
        </w:rPr>
        <w:t>. “</w:t>
      </w:r>
      <w:proofErr w:type="spellStart"/>
      <w:r w:rsidR="000D6017" w:rsidRPr="000D6017">
        <w:rPr>
          <w:rFonts w:ascii="Arial" w:hAnsi="Arial" w:cs="Arial"/>
          <w:b/>
          <w:bCs/>
          <w:i/>
          <w:iCs/>
          <w:sz w:val="20"/>
          <w:szCs w:val="20"/>
          <w:lang w:val="es-ES_tradnl"/>
        </w:rPr>
        <w:t>Indupoles</w:t>
      </w:r>
      <w:proofErr w:type="spellEnd"/>
      <w:r w:rsidR="000D6017" w:rsidRPr="000D6017">
        <w:rPr>
          <w:rFonts w:ascii="Arial" w:hAnsi="Arial" w:cs="Arial"/>
          <w:b/>
          <w:bCs/>
          <w:i/>
          <w:iCs/>
          <w:sz w:val="20"/>
          <w:szCs w:val="20"/>
          <w:lang w:val="es-ES_tradnl"/>
        </w:rPr>
        <w:t xml:space="preserve"> Argentina SA c/ provincia de Tierra del Fuego</w:t>
      </w:r>
      <w:r w:rsidR="00DE7A2E" w:rsidRPr="000D6017">
        <w:rPr>
          <w:rFonts w:ascii="Arial" w:hAnsi="Arial" w:cs="Arial"/>
          <w:b/>
          <w:bCs/>
          <w:i/>
          <w:iCs/>
          <w:sz w:val="20"/>
          <w:szCs w:val="20"/>
          <w:lang w:val="es-ES_tradnl"/>
        </w:rPr>
        <w:t>”</w:t>
      </w:r>
      <w:r w:rsidR="00514046" w:rsidRPr="000D6017">
        <w:rPr>
          <w:rFonts w:ascii="Arial" w:hAnsi="Arial" w:cs="Arial"/>
          <w:b/>
          <w:bCs/>
          <w:sz w:val="20"/>
          <w:szCs w:val="20"/>
          <w:lang w:val="es-ES_tradnl"/>
        </w:rPr>
        <w:t xml:space="preserve">. </w:t>
      </w:r>
      <w:r w:rsidR="00A710BD" w:rsidRPr="002F624D">
        <w:rPr>
          <w:rFonts w:ascii="Arial" w:hAnsi="Arial" w:cs="Arial"/>
          <w:sz w:val="20"/>
          <w:szCs w:val="20"/>
          <w:lang w:val="es-ES_tradnl"/>
        </w:rPr>
        <w:t xml:space="preserve">Atribución </w:t>
      </w:r>
      <w:r w:rsidR="002F624D">
        <w:rPr>
          <w:rFonts w:ascii="Arial" w:hAnsi="Arial" w:cs="Arial"/>
          <w:sz w:val="20"/>
          <w:szCs w:val="20"/>
          <w:lang w:val="es-ES_tradnl"/>
        </w:rPr>
        <w:t>de ingresos. L</w:t>
      </w:r>
      <w:r w:rsidR="002F624D" w:rsidRPr="002F624D">
        <w:rPr>
          <w:rFonts w:ascii="Arial" w:hAnsi="Arial" w:cs="Arial"/>
          <w:sz w:val="20"/>
          <w:szCs w:val="20"/>
          <w:lang w:val="es-ES_tradnl"/>
        </w:rPr>
        <w:t xml:space="preserve">os ingresos </w:t>
      </w:r>
      <w:r w:rsidR="002F624D">
        <w:rPr>
          <w:rFonts w:ascii="Arial" w:hAnsi="Arial" w:cs="Arial"/>
          <w:sz w:val="20"/>
          <w:szCs w:val="20"/>
          <w:lang w:val="es-ES_tradnl"/>
        </w:rPr>
        <w:t xml:space="preserve">deben asignarse a </w:t>
      </w:r>
      <w:r w:rsidR="002F624D" w:rsidRPr="002F624D">
        <w:rPr>
          <w:rFonts w:ascii="Arial" w:hAnsi="Arial" w:cs="Arial"/>
          <w:sz w:val="20"/>
          <w:szCs w:val="20"/>
          <w:lang w:val="es-ES_tradnl"/>
        </w:rPr>
        <w:t>la jurisdicción donde se produc</w:t>
      </w:r>
      <w:r w:rsidR="00470981">
        <w:rPr>
          <w:rFonts w:ascii="Arial" w:hAnsi="Arial" w:cs="Arial"/>
          <w:sz w:val="20"/>
          <w:szCs w:val="20"/>
          <w:lang w:val="es-ES_tradnl"/>
        </w:rPr>
        <w:t>e</w:t>
      </w:r>
      <w:r w:rsidR="002F624D" w:rsidRPr="002F624D">
        <w:rPr>
          <w:rFonts w:ascii="Arial" w:hAnsi="Arial" w:cs="Arial"/>
          <w:sz w:val="20"/>
          <w:szCs w:val="20"/>
          <w:lang w:val="es-ES_tradnl"/>
        </w:rPr>
        <w:t xml:space="preserve"> el “destino final” de los bienes comercializados en un domicilio del comprador</w:t>
      </w:r>
      <w:r w:rsidR="00EA22B6">
        <w:rPr>
          <w:rFonts w:ascii="Arial" w:hAnsi="Arial" w:cs="Arial"/>
          <w:sz w:val="20"/>
          <w:szCs w:val="20"/>
          <w:lang w:val="es-ES_tradnl"/>
        </w:rPr>
        <w:t xml:space="preserve"> conocido por el vendedor</w:t>
      </w:r>
      <w:r w:rsidR="002F624D" w:rsidRPr="002F624D">
        <w:rPr>
          <w:rFonts w:ascii="Arial" w:hAnsi="Arial" w:cs="Arial"/>
          <w:sz w:val="20"/>
          <w:szCs w:val="20"/>
          <w:lang w:val="es-ES_tradnl"/>
        </w:rPr>
        <w:t>.</w:t>
      </w:r>
    </w:p>
    <w:p w14:paraId="2E433BDC" w14:textId="5E82F665" w:rsidR="0098171C" w:rsidRPr="00C15302" w:rsidRDefault="00DE7A2E" w:rsidP="002C0676">
      <w:pPr>
        <w:pStyle w:val="ListParagraph"/>
        <w:numPr>
          <w:ilvl w:val="0"/>
          <w:numId w:val="1"/>
        </w:numPr>
        <w:snapToGrid w:val="0"/>
        <w:spacing w:after="240" w:line="360" w:lineRule="auto"/>
        <w:contextualSpacing w:val="0"/>
        <w:jc w:val="both"/>
        <w:rPr>
          <w:rFonts w:ascii="Arial" w:hAnsi="Arial" w:cs="Arial"/>
          <w:b/>
          <w:bCs/>
          <w:sz w:val="20"/>
          <w:szCs w:val="20"/>
          <w:u w:val="single"/>
          <w:lang w:val="es-ES_tradnl"/>
        </w:rPr>
      </w:pPr>
      <w:r w:rsidRPr="00C15302">
        <w:rPr>
          <w:rFonts w:ascii="Arial" w:hAnsi="Arial" w:cs="Arial"/>
          <w:b/>
          <w:bCs/>
          <w:sz w:val="20"/>
          <w:szCs w:val="20"/>
          <w:lang w:val="es-ES_tradnl"/>
        </w:rPr>
        <w:t xml:space="preserve">R. (CA) </w:t>
      </w:r>
      <w:r w:rsidR="00500FF8" w:rsidRPr="00C15302">
        <w:rPr>
          <w:rFonts w:ascii="Arial" w:hAnsi="Arial" w:cs="Arial"/>
          <w:b/>
          <w:bCs/>
          <w:sz w:val="20"/>
          <w:szCs w:val="20"/>
          <w:lang w:val="es-ES_tradnl"/>
        </w:rPr>
        <w:t>13</w:t>
      </w:r>
      <w:r w:rsidRPr="00C15302">
        <w:rPr>
          <w:rFonts w:ascii="Arial" w:hAnsi="Arial" w:cs="Arial"/>
          <w:b/>
          <w:bCs/>
          <w:sz w:val="20"/>
          <w:szCs w:val="20"/>
          <w:lang w:val="es-ES_tradnl"/>
        </w:rPr>
        <w:t>/202</w:t>
      </w:r>
      <w:r w:rsidR="00B233C8" w:rsidRPr="00C15302">
        <w:rPr>
          <w:rFonts w:ascii="Arial" w:hAnsi="Arial" w:cs="Arial"/>
          <w:b/>
          <w:bCs/>
          <w:sz w:val="20"/>
          <w:szCs w:val="20"/>
          <w:lang w:val="es-ES_tradnl"/>
        </w:rPr>
        <w:t>4</w:t>
      </w:r>
      <w:r w:rsidRPr="00C15302">
        <w:rPr>
          <w:rFonts w:ascii="Arial" w:hAnsi="Arial" w:cs="Arial"/>
          <w:b/>
          <w:bCs/>
          <w:sz w:val="20"/>
          <w:szCs w:val="20"/>
          <w:lang w:val="es-ES_tradnl"/>
        </w:rPr>
        <w:t>. “</w:t>
      </w:r>
      <w:r w:rsidR="00500FF8" w:rsidRPr="00C15302">
        <w:rPr>
          <w:rFonts w:ascii="Arial" w:hAnsi="Arial" w:cs="Arial"/>
          <w:b/>
          <w:bCs/>
          <w:i/>
          <w:iCs/>
          <w:sz w:val="20"/>
          <w:szCs w:val="20"/>
          <w:lang w:val="es-ES_tradnl"/>
        </w:rPr>
        <w:t xml:space="preserve">Automotores </w:t>
      </w:r>
      <w:proofErr w:type="spellStart"/>
      <w:r w:rsidR="00500FF8" w:rsidRPr="00C15302">
        <w:rPr>
          <w:rFonts w:ascii="Arial" w:hAnsi="Arial" w:cs="Arial"/>
          <w:b/>
          <w:bCs/>
          <w:i/>
          <w:iCs/>
          <w:sz w:val="20"/>
          <w:szCs w:val="20"/>
          <w:lang w:val="es-ES_tradnl"/>
        </w:rPr>
        <w:t>Russoniello</w:t>
      </w:r>
      <w:proofErr w:type="spellEnd"/>
      <w:r w:rsidR="00500FF8" w:rsidRPr="00C15302">
        <w:rPr>
          <w:rFonts w:ascii="Arial" w:hAnsi="Arial" w:cs="Arial"/>
          <w:b/>
          <w:bCs/>
          <w:i/>
          <w:iCs/>
          <w:sz w:val="20"/>
          <w:szCs w:val="20"/>
          <w:lang w:val="es-ES_tradnl"/>
        </w:rPr>
        <w:t xml:space="preserve"> SA c/ provincia de Misiones</w:t>
      </w:r>
      <w:r w:rsidRPr="00C15302">
        <w:rPr>
          <w:rFonts w:ascii="Arial" w:hAnsi="Arial" w:cs="Arial"/>
          <w:b/>
          <w:bCs/>
          <w:i/>
          <w:iCs/>
          <w:sz w:val="20"/>
          <w:szCs w:val="20"/>
          <w:lang w:val="es-ES_tradnl"/>
        </w:rPr>
        <w:t>”</w:t>
      </w:r>
      <w:r w:rsidRPr="00C15302">
        <w:rPr>
          <w:rFonts w:ascii="Arial" w:hAnsi="Arial" w:cs="Arial"/>
          <w:sz w:val="20"/>
          <w:szCs w:val="20"/>
          <w:lang w:val="es-ES_tradnl"/>
        </w:rPr>
        <w:t xml:space="preserve">. </w:t>
      </w:r>
      <w:r w:rsidR="00F16841">
        <w:rPr>
          <w:rFonts w:ascii="Arial" w:hAnsi="Arial" w:cs="Arial"/>
          <w:sz w:val="20"/>
          <w:szCs w:val="20"/>
          <w:lang w:val="es-ES_tradnl"/>
        </w:rPr>
        <w:t>Coeficiente de ingresos. EL d</w:t>
      </w:r>
      <w:r w:rsidR="00F16841" w:rsidRPr="00F16841">
        <w:rPr>
          <w:rFonts w:ascii="Arial" w:hAnsi="Arial" w:cs="Arial"/>
          <w:sz w:val="20"/>
          <w:szCs w:val="20"/>
          <w:lang w:val="es-ES_tradnl"/>
        </w:rPr>
        <w:t>estino final en el domicilio del adquirente es perfectamente conocido por el vendedor del bien, tal como surge de la documentación adunada al expediente administrativo, motivo por el cual los ingresos derivados de las operaciones de venta a clientes con domicilio en la provincia de Misiones deben ser atribuidos a esta jurisdicción</w:t>
      </w:r>
      <w:r w:rsidR="00C15302" w:rsidRPr="00C15302">
        <w:rPr>
          <w:rFonts w:ascii="Arial" w:hAnsi="Arial" w:cs="Arial"/>
          <w:sz w:val="20"/>
          <w:szCs w:val="20"/>
          <w:lang w:val="es-ES_tradnl"/>
        </w:rPr>
        <w:t>L</w:t>
      </w:r>
      <w:r w:rsidR="00C15302" w:rsidRPr="00C15302">
        <w:rPr>
          <w:rFonts w:ascii="Arial" w:hAnsi="Arial" w:cs="Arial"/>
          <w:sz w:val="20"/>
          <w:szCs w:val="20"/>
          <w:lang w:val="es-ES_tradnl"/>
        </w:rPr>
        <w:t>a metodología que se debe seguir a los efectos de efectuar la atribución de los gastos a una determinada jurisdicción, es aquella en donde los servicios a los que dichos gastos se refieren han sido prestados, es decir, el lugar físico donde se desarrolle la actividad de los sujetos que los prestan</w:t>
      </w:r>
      <w:r w:rsidR="00DA14BB" w:rsidRPr="00C15302">
        <w:rPr>
          <w:rFonts w:ascii="Arial" w:hAnsi="Arial" w:cs="Arial"/>
          <w:sz w:val="20"/>
          <w:szCs w:val="20"/>
          <w:lang w:val="es-ES_tradnl"/>
        </w:rPr>
        <w:t>.</w:t>
      </w:r>
    </w:p>
    <w:p w14:paraId="56ACAE92" w14:textId="52636966" w:rsidR="00115ECD" w:rsidRDefault="00DA14BB" w:rsidP="00DA14BB">
      <w:pPr>
        <w:pStyle w:val="ListParagraph"/>
        <w:numPr>
          <w:ilvl w:val="0"/>
          <w:numId w:val="1"/>
        </w:numPr>
        <w:snapToGrid w:val="0"/>
        <w:spacing w:after="240" w:line="360" w:lineRule="auto"/>
        <w:jc w:val="both"/>
        <w:rPr>
          <w:rFonts w:ascii="Arial" w:hAnsi="Arial" w:cs="Arial"/>
          <w:sz w:val="20"/>
          <w:szCs w:val="20"/>
          <w:lang w:val="es-ES_tradnl"/>
        </w:rPr>
      </w:pPr>
      <w:r w:rsidRPr="00DA14BB">
        <w:rPr>
          <w:rFonts w:ascii="Arial" w:hAnsi="Arial" w:cs="Arial"/>
          <w:b/>
          <w:bCs/>
          <w:sz w:val="20"/>
          <w:szCs w:val="20"/>
          <w:lang w:val="es-ES_tradnl"/>
        </w:rPr>
        <w:t xml:space="preserve">R. (CA) </w:t>
      </w:r>
      <w:r w:rsidR="00426470">
        <w:rPr>
          <w:rFonts w:ascii="Arial" w:hAnsi="Arial" w:cs="Arial"/>
          <w:b/>
          <w:bCs/>
          <w:sz w:val="20"/>
          <w:szCs w:val="20"/>
          <w:lang w:val="es-ES_tradnl"/>
        </w:rPr>
        <w:t>6</w:t>
      </w:r>
      <w:r w:rsidRPr="00DA14BB">
        <w:rPr>
          <w:rFonts w:ascii="Arial" w:hAnsi="Arial" w:cs="Arial"/>
          <w:b/>
          <w:bCs/>
          <w:sz w:val="20"/>
          <w:szCs w:val="20"/>
          <w:lang w:val="es-ES_tradnl"/>
        </w:rPr>
        <w:t>/2024. “</w:t>
      </w:r>
      <w:proofErr w:type="spellStart"/>
      <w:r w:rsidR="00426470" w:rsidRPr="00426470">
        <w:rPr>
          <w:rFonts w:ascii="Arial" w:hAnsi="Arial" w:cs="Arial"/>
          <w:b/>
          <w:bCs/>
          <w:i/>
          <w:iCs/>
          <w:sz w:val="20"/>
          <w:szCs w:val="20"/>
          <w:lang w:val="es-ES_tradnl"/>
        </w:rPr>
        <w:t>Amcor</w:t>
      </w:r>
      <w:proofErr w:type="spellEnd"/>
      <w:r w:rsidR="00426470" w:rsidRPr="00426470">
        <w:rPr>
          <w:rFonts w:ascii="Arial" w:hAnsi="Arial" w:cs="Arial"/>
          <w:b/>
          <w:bCs/>
          <w:i/>
          <w:iCs/>
          <w:sz w:val="20"/>
          <w:szCs w:val="20"/>
          <w:lang w:val="es-ES_tradnl"/>
        </w:rPr>
        <w:t xml:space="preserve"> </w:t>
      </w:r>
      <w:proofErr w:type="spellStart"/>
      <w:r w:rsidR="00426470" w:rsidRPr="00426470">
        <w:rPr>
          <w:rFonts w:ascii="Arial" w:hAnsi="Arial" w:cs="Arial"/>
          <w:b/>
          <w:bCs/>
          <w:i/>
          <w:iCs/>
          <w:sz w:val="20"/>
          <w:szCs w:val="20"/>
          <w:lang w:val="es-ES_tradnl"/>
        </w:rPr>
        <w:t>Rigid</w:t>
      </w:r>
      <w:proofErr w:type="spellEnd"/>
      <w:r w:rsidR="00426470" w:rsidRPr="00426470">
        <w:rPr>
          <w:rFonts w:ascii="Arial" w:hAnsi="Arial" w:cs="Arial"/>
          <w:b/>
          <w:bCs/>
          <w:i/>
          <w:iCs/>
          <w:sz w:val="20"/>
          <w:szCs w:val="20"/>
          <w:lang w:val="es-ES_tradnl"/>
        </w:rPr>
        <w:t xml:space="preserve"> </w:t>
      </w:r>
      <w:proofErr w:type="spellStart"/>
      <w:r w:rsidR="00426470" w:rsidRPr="00426470">
        <w:rPr>
          <w:rFonts w:ascii="Arial" w:hAnsi="Arial" w:cs="Arial"/>
          <w:b/>
          <w:bCs/>
          <w:i/>
          <w:iCs/>
          <w:sz w:val="20"/>
          <w:szCs w:val="20"/>
          <w:lang w:val="es-ES_tradnl"/>
        </w:rPr>
        <w:t>Packaging</w:t>
      </w:r>
      <w:proofErr w:type="spellEnd"/>
      <w:r w:rsidR="00426470" w:rsidRPr="00426470">
        <w:rPr>
          <w:rFonts w:ascii="Arial" w:hAnsi="Arial" w:cs="Arial"/>
          <w:b/>
          <w:bCs/>
          <w:i/>
          <w:iCs/>
          <w:sz w:val="20"/>
          <w:szCs w:val="20"/>
          <w:lang w:val="es-ES_tradnl"/>
        </w:rPr>
        <w:t xml:space="preserve"> de Argentina SA c/ provincia de Buenos Aires”</w:t>
      </w:r>
      <w:r w:rsidRPr="00DA14BB">
        <w:rPr>
          <w:rFonts w:ascii="Arial" w:hAnsi="Arial" w:cs="Arial"/>
          <w:sz w:val="20"/>
          <w:szCs w:val="20"/>
          <w:lang w:val="es-ES_tradnl"/>
        </w:rPr>
        <w:t xml:space="preserve">. </w:t>
      </w:r>
      <w:r w:rsidR="00CE0F98">
        <w:rPr>
          <w:rFonts w:ascii="Arial" w:hAnsi="Arial" w:cs="Arial"/>
          <w:sz w:val="20"/>
          <w:szCs w:val="20"/>
          <w:lang w:val="es-ES_tradnl"/>
        </w:rPr>
        <w:t>E</w:t>
      </w:r>
      <w:r w:rsidR="00CE0F98" w:rsidRPr="00CE0F98">
        <w:rPr>
          <w:rFonts w:ascii="Arial" w:hAnsi="Arial" w:cs="Arial"/>
          <w:sz w:val="20"/>
          <w:szCs w:val="20"/>
          <w:lang w:val="es-ES_tradnl"/>
        </w:rPr>
        <w:t>l criterio de atribución de ingresos que el contribuyente sostiene, al cual se allana la jurisdicción</w:t>
      </w:r>
      <w:r w:rsidR="00D02A90">
        <w:rPr>
          <w:rFonts w:ascii="Arial" w:hAnsi="Arial" w:cs="Arial"/>
          <w:sz w:val="20"/>
          <w:szCs w:val="20"/>
          <w:lang w:val="es-ES_tradnl"/>
        </w:rPr>
        <w:t xml:space="preserve">. El lugar de entrega </w:t>
      </w:r>
      <w:r w:rsidR="00D02A90" w:rsidRPr="00D02A90">
        <w:rPr>
          <w:rFonts w:ascii="Arial" w:hAnsi="Arial" w:cs="Arial"/>
          <w:sz w:val="20"/>
          <w:szCs w:val="20"/>
          <w:lang w:val="es-ES_tradnl"/>
        </w:rPr>
        <w:t>resulta acreditado</w:t>
      </w:r>
      <w:r w:rsidR="00D02A90">
        <w:rPr>
          <w:rFonts w:ascii="Arial" w:hAnsi="Arial" w:cs="Arial"/>
          <w:sz w:val="20"/>
          <w:szCs w:val="20"/>
          <w:lang w:val="es-ES_tradnl"/>
        </w:rPr>
        <w:t xml:space="preserve"> con</w:t>
      </w:r>
      <w:r w:rsidR="00D02A90" w:rsidRPr="00D02A90">
        <w:rPr>
          <w:rFonts w:ascii="Arial" w:hAnsi="Arial" w:cs="Arial"/>
          <w:sz w:val="20"/>
          <w:szCs w:val="20"/>
          <w:lang w:val="es-ES_tradnl"/>
        </w:rPr>
        <w:t xml:space="preserve"> los domicilios correspondientes al destino final de los bienes y, más aún, surge que éstos coinciden con los domicilios de las plantas fabriles de los clientes, los cuales conoce dada la relación fluida con sus clientes</w:t>
      </w:r>
      <w:r w:rsidR="00583612">
        <w:rPr>
          <w:rFonts w:ascii="Arial" w:hAnsi="Arial" w:cs="Arial"/>
          <w:sz w:val="20"/>
          <w:szCs w:val="20"/>
          <w:lang w:val="es-ES_tradnl"/>
        </w:rPr>
        <w:t>. Se hace lugar a la acción.</w:t>
      </w:r>
    </w:p>
    <w:p w14:paraId="4BC2BF09" w14:textId="77777777" w:rsidR="0033645F" w:rsidRPr="00DA14BB" w:rsidRDefault="0033645F" w:rsidP="0033645F">
      <w:pPr>
        <w:pStyle w:val="ListParagraph"/>
        <w:snapToGrid w:val="0"/>
        <w:spacing w:after="240" w:line="360" w:lineRule="auto"/>
        <w:ind w:left="360"/>
        <w:jc w:val="both"/>
        <w:rPr>
          <w:rFonts w:ascii="Arial" w:hAnsi="Arial" w:cs="Arial"/>
          <w:sz w:val="20"/>
          <w:szCs w:val="20"/>
          <w:lang w:val="es-ES_tradnl"/>
        </w:rPr>
      </w:pPr>
    </w:p>
    <w:p w14:paraId="4622545D" w14:textId="755241E8" w:rsidR="005103D6" w:rsidRDefault="005103D6" w:rsidP="005103D6">
      <w:pPr>
        <w:snapToGrid w:val="0"/>
        <w:spacing w:after="240" w:line="360" w:lineRule="auto"/>
        <w:jc w:val="both"/>
        <w:rPr>
          <w:rFonts w:ascii="Arial" w:hAnsi="Arial" w:cs="Arial"/>
          <w:b/>
          <w:bCs/>
          <w:sz w:val="20"/>
          <w:szCs w:val="20"/>
          <w:u w:val="single"/>
          <w:lang w:val="es-ES_tradnl"/>
        </w:rPr>
      </w:pPr>
      <w:r>
        <w:rPr>
          <w:rFonts w:ascii="Arial" w:hAnsi="Arial" w:cs="Arial"/>
          <w:b/>
          <w:bCs/>
          <w:sz w:val="20"/>
          <w:szCs w:val="20"/>
          <w:u w:val="single"/>
          <w:lang w:val="es-ES_tradnl"/>
        </w:rPr>
        <w:t>RESUMEN NORMATIVO</w:t>
      </w:r>
    </w:p>
    <w:sectPr w:rsidR="005103D6" w:rsidSect="00650141">
      <w:footerReference w:type="even" r:id="rId7"/>
      <w:footerReference w:type="default" r:id="rId8"/>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0636B" w14:textId="77777777" w:rsidR="002B42F6" w:rsidRDefault="002B42F6" w:rsidP="000E4011">
      <w:r>
        <w:separator/>
      </w:r>
    </w:p>
  </w:endnote>
  <w:endnote w:type="continuationSeparator" w:id="0">
    <w:p w14:paraId="32D5163B" w14:textId="77777777" w:rsidR="002B42F6" w:rsidRDefault="002B42F6" w:rsidP="000E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22561818"/>
      <w:docPartObj>
        <w:docPartGallery w:val="Page Numbers (Bottom of Page)"/>
        <w:docPartUnique/>
      </w:docPartObj>
    </w:sdtPr>
    <w:sdtEndPr>
      <w:rPr>
        <w:rStyle w:val="PageNumber"/>
      </w:rPr>
    </w:sdtEndPr>
    <w:sdtContent>
      <w:p w14:paraId="2B428B6D" w14:textId="57DB7750" w:rsidR="000E4011" w:rsidRDefault="000E4011" w:rsidP="006A7B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56EFEC3" w14:textId="77777777" w:rsidR="000E4011" w:rsidRDefault="000E4011" w:rsidP="000E40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27011534"/>
      <w:docPartObj>
        <w:docPartGallery w:val="Page Numbers (Bottom of Page)"/>
        <w:docPartUnique/>
      </w:docPartObj>
    </w:sdtPr>
    <w:sdtEndPr>
      <w:rPr>
        <w:rStyle w:val="PageNumber"/>
      </w:rPr>
    </w:sdtEndPr>
    <w:sdtContent>
      <w:p w14:paraId="675054BE" w14:textId="6EC2E1D5" w:rsidR="000E4011" w:rsidRDefault="000E4011" w:rsidP="006A7B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3228A">
          <w:rPr>
            <w:rStyle w:val="PageNumber"/>
            <w:noProof/>
          </w:rPr>
          <w:t>4</w:t>
        </w:r>
        <w:r>
          <w:rPr>
            <w:rStyle w:val="PageNumber"/>
          </w:rPr>
          <w:fldChar w:fldCharType="end"/>
        </w:r>
      </w:p>
    </w:sdtContent>
  </w:sdt>
  <w:p w14:paraId="67F07726" w14:textId="77777777" w:rsidR="000E4011" w:rsidRDefault="000E4011" w:rsidP="000E401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EE8FB" w14:textId="77777777" w:rsidR="002B42F6" w:rsidRDefault="002B42F6" w:rsidP="000E4011">
      <w:r>
        <w:separator/>
      </w:r>
    </w:p>
  </w:footnote>
  <w:footnote w:type="continuationSeparator" w:id="0">
    <w:p w14:paraId="3191DB92" w14:textId="77777777" w:rsidR="002B42F6" w:rsidRDefault="002B42F6" w:rsidP="000E4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A05DB5"/>
    <w:multiLevelType w:val="multilevel"/>
    <w:tmpl w:val="03704900"/>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60642CFF"/>
    <w:multiLevelType w:val="hybridMultilevel"/>
    <w:tmpl w:val="FB0456D6"/>
    <w:lvl w:ilvl="0" w:tplc="A752A1BA">
      <w:start w:val="18"/>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91637869">
    <w:abstractNumId w:val="0"/>
  </w:num>
  <w:num w:numId="2" w16cid:durableId="579565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0E1"/>
    <w:rsid w:val="00020C2F"/>
    <w:rsid w:val="00021B13"/>
    <w:rsid w:val="0003369B"/>
    <w:rsid w:val="0003411A"/>
    <w:rsid w:val="00035AF3"/>
    <w:rsid w:val="00081323"/>
    <w:rsid w:val="000B047D"/>
    <w:rsid w:val="000C05AB"/>
    <w:rsid w:val="000C53BE"/>
    <w:rsid w:val="000C57F3"/>
    <w:rsid w:val="000D0409"/>
    <w:rsid w:val="000D6017"/>
    <w:rsid w:val="000E064E"/>
    <w:rsid w:val="000E4011"/>
    <w:rsid w:val="000E64D8"/>
    <w:rsid w:val="00111D9D"/>
    <w:rsid w:val="00114EB8"/>
    <w:rsid w:val="00115ECD"/>
    <w:rsid w:val="001227CB"/>
    <w:rsid w:val="00123726"/>
    <w:rsid w:val="00130F00"/>
    <w:rsid w:val="001352E9"/>
    <w:rsid w:val="00136168"/>
    <w:rsid w:val="00162D30"/>
    <w:rsid w:val="001667E8"/>
    <w:rsid w:val="00175D60"/>
    <w:rsid w:val="00186853"/>
    <w:rsid w:val="001A164A"/>
    <w:rsid w:val="001B775A"/>
    <w:rsid w:val="001B7DEC"/>
    <w:rsid w:val="001C1E68"/>
    <w:rsid w:val="001C4A09"/>
    <w:rsid w:val="001C5B05"/>
    <w:rsid w:val="001F5058"/>
    <w:rsid w:val="00200FA1"/>
    <w:rsid w:val="00203C8D"/>
    <w:rsid w:val="002071FA"/>
    <w:rsid w:val="00213D56"/>
    <w:rsid w:val="00225892"/>
    <w:rsid w:val="00250C1B"/>
    <w:rsid w:val="00252A25"/>
    <w:rsid w:val="00252DE8"/>
    <w:rsid w:val="002621E0"/>
    <w:rsid w:val="00263D38"/>
    <w:rsid w:val="002660B5"/>
    <w:rsid w:val="00297B69"/>
    <w:rsid w:val="002A1BA1"/>
    <w:rsid w:val="002A37FF"/>
    <w:rsid w:val="002A4AC1"/>
    <w:rsid w:val="002B0ACD"/>
    <w:rsid w:val="002B42F6"/>
    <w:rsid w:val="002C30ED"/>
    <w:rsid w:val="002C60BB"/>
    <w:rsid w:val="002C708C"/>
    <w:rsid w:val="002F624D"/>
    <w:rsid w:val="002F71B9"/>
    <w:rsid w:val="0030556E"/>
    <w:rsid w:val="00312958"/>
    <w:rsid w:val="00315581"/>
    <w:rsid w:val="0033645F"/>
    <w:rsid w:val="00341ED4"/>
    <w:rsid w:val="00344CA1"/>
    <w:rsid w:val="00350EA9"/>
    <w:rsid w:val="00357AE9"/>
    <w:rsid w:val="00375C9B"/>
    <w:rsid w:val="00382B25"/>
    <w:rsid w:val="003903C3"/>
    <w:rsid w:val="003A7D43"/>
    <w:rsid w:val="003B10AB"/>
    <w:rsid w:val="003B1D95"/>
    <w:rsid w:val="003B49AA"/>
    <w:rsid w:val="003B5DA6"/>
    <w:rsid w:val="003B63DD"/>
    <w:rsid w:val="003C1DAD"/>
    <w:rsid w:val="003C2D48"/>
    <w:rsid w:val="003D28EF"/>
    <w:rsid w:val="004040E1"/>
    <w:rsid w:val="00426470"/>
    <w:rsid w:val="00444EC1"/>
    <w:rsid w:val="004553B4"/>
    <w:rsid w:val="00470981"/>
    <w:rsid w:val="0048583B"/>
    <w:rsid w:val="00492992"/>
    <w:rsid w:val="004A7649"/>
    <w:rsid w:val="004A7A5F"/>
    <w:rsid w:val="004B6873"/>
    <w:rsid w:val="004D47A7"/>
    <w:rsid w:val="004E553B"/>
    <w:rsid w:val="00500FF8"/>
    <w:rsid w:val="00510387"/>
    <w:rsid w:val="005103D6"/>
    <w:rsid w:val="00514046"/>
    <w:rsid w:val="00515075"/>
    <w:rsid w:val="00532839"/>
    <w:rsid w:val="00544F1F"/>
    <w:rsid w:val="00550112"/>
    <w:rsid w:val="00554519"/>
    <w:rsid w:val="00562223"/>
    <w:rsid w:val="00583612"/>
    <w:rsid w:val="0059686D"/>
    <w:rsid w:val="005B67CB"/>
    <w:rsid w:val="005D41BA"/>
    <w:rsid w:val="005D63AC"/>
    <w:rsid w:val="005D6844"/>
    <w:rsid w:val="005F1905"/>
    <w:rsid w:val="00604CDB"/>
    <w:rsid w:val="00617E4B"/>
    <w:rsid w:val="0063228A"/>
    <w:rsid w:val="00632574"/>
    <w:rsid w:val="00650141"/>
    <w:rsid w:val="006617AB"/>
    <w:rsid w:val="00663E80"/>
    <w:rsid w:val="00671A73"/>
    <w:rsid w:val="00683ACB"/>
    <w:rsid w:val="0068613F"/>
    <w:rsid w:val="0068625C"/>
    <w:rsid w:val="00694AAF"/>
    <w:rsid w:val="00697DA4"/>
    <w:rsid w:val="006A6B3A"/>
    <w:rsid w:val="006B3A35"/>
    <w:rsid w:val="006B6BC4"/>
    <w:rsid w:val="006E442B"/>
    <w:rsid w:val="006F026B"/>
    <w:rsid w:val="00711E76"/>
    <w:rsid w:val="00716457"/>
    <w:rsid w:val="00716E79"/>
    <w:rsid w:val="007234D4"/>
    <w:rsid w:val="00744727"/>
    <w:rsid w:val="0076441E"/>
    <w:rsid w:val="0076719E"/>
    <w:rsid w:val="00782540"/>
    <w:rsid w:val="00783D3B"/>
    <w:rsid w:val="0079720C"/>
    <w:rsid w:val="007C02D0"/>
    <w:rsid w:val="007C783B"/>
    <w:rsid w:val="007D507E"/>
    <w:rsid w:val="007F2B7F"/>
    <w:rsid w:val="00802795"/>
    <w:rsid w:val="00806224"/>
    <w:rsid w:val="00812B6A"/>
    <w:rsid w:val="008208B8"/>
    <w:rsid w:val="00843BDA"/>
    <w:rsid w:val="00853AC5"/>
    <w:rsid w:val="00854D45"/>
    <w:rsid w:val="00866286"/>
    <w:rsid w:val="00881159"/>
    <w:rsid w:val="008A1489"/>
    <w:rsid w:val="008A2C93"/>
    <w:rsid w:val="008A2F21"/>
    <w:rsid w:val="008C0D8F"/>
    <w:rsid w:val="008E073E"/>
    <w:rsid w:val="008E1B19"/>
    <w:rsid w:val="008F3212"/>
    <w:rsid w:val="00927093"/>
    <w:rsid w:val="00936466"/>
    <w:rsid w:val="00950772"/>
    <w:rsid w:val="009738D5"/>
    <w:rsid w:val="0098171C"/>
    <w:rsid w:val="00992D53"/>
    <w:rsid w:val="009B2624"/>
    <w:rsid w:val="009C3C7B"/>
    <w:rsid w:val="009E096C"/>
    <w:rsid w:val="009E1170"/>
    <w:rsid w:val="009E4E32"/>
    <w:rsid w:val="00A528A6"/>
    <w:rsid w:val="00A604AA"/>
    <w:rsid w:val="00A60CC2"/>
    <w:rsid w:val="00A644A7"/>
    <w:rsid w:val="00A668D6"/>
    <w:rsid w:val="00A710BD"/>
    <w:rsid w:val="00A71DAD"/>
    <w:rsid w:val="00A76B8B"/>
    <w:rsid w:val="00A813E0"/>
    <w:rsid w:val="00A84F31"/>
    <w:rsid w:val="00A92EAB"/>
    <w:rsid w:val="00A96EC2"/>
    <w:rsid w:val="00AB03F2"/>
    <w:rsid w:val="00AB32E6"/>
    <w:rsid w:val="00AF0939"/>
    <w:rsid w:val="00AF51A9"/>
    <w:rsid w:val="00AF7478"/>
    <w:rsid w:val="00B07EF7"/>
    <w:rsid w:val="00B233C8"/>
    <w:rsid w:val="00B5582B"/>
    <w:rsid w:val="00B66C7C"/>
    <w:rsid w:val="00B779C8"/>
    <w:rsid w:val="00B9144D"/>
    <w:rsid w:val="00BA06C6"/>
    <w:rsid w:val="00BC7273"/>
    <w:rsid w:val="00BF7CD1"/>
    <w:rsid w:val="00C138F8"/>
    <w:rsid w:val="00C15302"/>
    <w:rsid w:val="00C2259E"/>
    <w:rsid w:val="00C23D30"/>
    <w:rsid w:val="00C26F19"/>
    <w:rsid w:val="00C43F7C"/>
    <w:rsid w:val="00C46076"/>
    <w:rsid w:val="00C679BC"/>
    <w:rsid w:val="00C706E1"/>
    <w:rsid w:val="00C72F70"/>
    <w:rsid w:val="00C76181"/>
    <w:rsid w:val="00C7691C"/>
    <w:rsid w:val="00C77852"/>
    <w:rsid w:val="00C809A1"/>
    <w:rsid w:val="00C809A9"/>
    <w:rsid w:val="00C9367C"/>
    <w:rsid w:val="00CA0357"/>
    <w:rsid w:val="00CA48D3"/>
    <w:rsid w:val="00CC0D1C"/>
    <w:rsid w:val="00CC1BA4"/>
    <w:rsid w:val="00CC2DDB"/>
    <w:rsid w:val="00CC3E64"/>
    <w:rsid w:val="00CD62C2"/>
    <w:rsid w:val="00CD73CD"/>
    <w:rsid w:val="00CE0F98"/>
    <w:rsid w:val="00CE7059"/>
    <w:rsid w:val="00D00F9A"/>
    <w:rsid w:val="00D02A90"/>
    <w:rsid w:val="00D1139D"/>
    <w:rsid w:val="00D2196B"/>
    <w:rsid w:val="00D269B6"/>
    <w:rsid w:val="00D316F1"/>
    <w:rsid w:val="00D41208"/>
    <w:rsid w:val="00D6136D"/>
    <w:rsid w:val="00D67827"/>
    <w:rsid w:val="00D7116F"/>
    <w:rsid w:val="00DA14BB"/>
    <w:rsid w:val="00DA7D6A"/>
    <w:rsid w:val="00DC283B"/>
    <w:rsid w:val="00DE2CF5"/>
    <w:rsid w:val="00DE7A2E"/>
    <w:rsid w:val="00DF3C82"/>
    <w:rsid w:val="00E14FEC"/>
    <w:rsid w:val="00E233A4"/>
    <w:rsid w:val="00E44BBE"/>
    <w:rsid w:val="00E67A45"/>
    <w:rsid w:val="00E733AA"/>
    <w:rsid w:val="00E76D42"/>
    <w:rsid w:val="00E825E8"/>
    <w:rsid w:val="00EA22B6"/>
    <w:rsid w:val="00EB75DD"/>
    <w:rsid w:val="00EB767C"/>
    <w:rsid w:val="00EC488D"/>
    <w:rsid w:val="00ED4A59"/>
    <w:rsid w:val="00ED791E"/>
    <w:rsid w:val="00F144B4"/>
    <w:rsid w:val="00F16841"/>
    <w:rsid w:val="00F26251"/>
    <w:rsid w:val="00F30331"/>
    <w:rsid w:val="00F30421"/>
    <w:rsid w:val="00F31486"/>
    <w:rsid w:val="00F474B7"/>
    <w:rsid w:val="00F47FB4"/>
    <w:rsid w:val="00F539AD"/>
    <w:rsid w:val="00F652A1"/>
    <w:rsid w:val="00F72E98"/>
    <w:rsid w:val="00F84F86"/>
    <w:rsid w:val="00F97543"/>
    <w:rsid w:val="00FC4A20"/>
    <w:rsid w:val="00FF2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994E"/>
  <w15:chartTrackingRefBased/>
  <w15:docId w15:val="{AAB08DB9-CBE2-FC4C-9058-FE5D604C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A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4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5AB"/>
    <w:pPr>
      <w:ind w:left="720"/>
      <w:contextualSpacing/>
    </w:pPr>
  </w:style>
  <w:style w:type="paragraph" w:styleId="Header">
    <w:name w:val="header"/>
    <w:basedOn w:val="Normal"/>
    <w:link w:val="HeaderChar"/>
    <w:uiPriority w:val="99"/>
    <w:unhideWhenUsed/>
    <w:rsid w:val="000E4011"/>
    <w:pPr>
      <w:tabs>
        <w:tab w:val="center" w:pos="4419"/>
        <w:tab w:val="right" w:pos="8838"/>
      </w:tabs>
    </w:pPr>
  </w:style>
  <w:style w:type="character" w:customStyle="1" w:styleId="HeaderChar">
    <w:name w:val="Header Char"/>
    <w:basedOn w:val="DefaultParagraphFont"/>
    <w:link w:val="Header"/>
    <w:uiPriority w:val="99"/>
    <w:rsid w:val="000E4011"/>
  </w:style>
  <w:style w:type="paragraph" w:styleId="Footer">
    <w:name w:val="footer"/>
    <w:basedOn w:val="Normal"/>
    <w:link w:val="FooterChar"/>
    <w:uiPriority w:val="99"/>
    <w:unhideWhenUsed/>
    <w:rsid w:val="000E4011"/>
    <w:pPr>
      <w:tabs>
        <w:tab w:val="center" w:pos="4419"/>
        <w:tab w:val="right" w:pos="8838"/>
      </w:tabs>
    </w:pPr>
  </w:style>
  <w:style w:type="character" w:customStyle="1" w:styleId="FooterChar">
    <w:name w:val="Footer Char"/>
    <w:basedOn w:val="DefaultParagraphFont"/>
    <w:link w:val="Footer"/>
    <w:uiPriority w:val="99"/>
    <w:rsid w:val="000E4011"/>
  </w:style>
  <w:style w:type="character" w:styleId="PageNumber">
    <w:name w:val="page number"/>
    <w:basedOn w:val="DefaultParagraphFont"/>
    <w:uiPriority w:val="99"/>
    <w:semiHidden/>
    <w:unhideWhenUsed/>
    <w:rsid w:val="000E4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4044">
      <w:bodyDiv w:val="1"/>
      <w:marLeft w:val="0"/>
      <w:marRight w:val="0"/>
      <w:marTop w:val="0"/>
      <w:marBottom w:val="0"/>
      <w:divBdr>
        <w:top w:val="none" w:sz="0" w:space="0" w:color="auto"/>
        <w:left w:val="none" w:sz="0" w:space="0" w:color="auto"/>
        <w:bottom w:val="none" w:sz="0" w:space="0" w:color="auto"/>
        <w:right w:val="none" w:sz="0" w:space="0" w:color="auto"/>
      </w:divBdr>
    </w:div>
    <w:div w:id="611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1205</Words>
  <Characters>6628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Francisco Reyes</dc:creator>
  <cp:keywords/>
  <dc:description/>
  <cp:lastModifiedBy>Gustavo Grinberg</cp:lastModifiedBy>
  <cp:revision>106</cp:revision>
  <cp:lastPrinted>2024-04-30T15:37:00Z</cp:lastPrinted>
  <dcterms:created xsi:type="dcterms:W3CDTF">2024-04-29T13:00:00Z</dcterms:created>
  <dcterms:modified xsi:type="dcterms:W3CDTF">2024-06-15T14:37:00Z</dcterms:modified>
</cp:coreProperties>
</file>